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27</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1040.36</w:t>
            </w:r>
          </w:p>
        </w:tc>
        <w:tc>
          <w:tcPr>
            <w:tcW w:w="4535" w:type="dxa"/>
            <w:vAlign w:val="center"/>
          </w:tcPr>
          <w:p>
            <w:pPr>
              <w:pStyle w:val="12"/>
            </w:pPr>
            <w:r>
              <w:t>一、一般公共服务支出</w:t>
            </w:r>
          </w:p>
        </w:tc>
        <w:tc>
          <w:tcPr>
            <w:tcW w:w="2126" w:type="dxa"/>
            <w:vAlign w:val="center"/>
          </w:tcPr>
          <w:p>
            <w:pPr>
              <w:pStyle w:val="11"/>
            </w:pPr>
            <w:r>
              <w:t>872.62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1040.36</w:t>
            </w:r>
          </w:p>
        </w:tc>
        <w:tc>
          <w:tcPr>
            <w:tcW w:w="4535" w:type="dxa"/>
            <w:vAlign w:val="center"/>
          </w:tcPr>
          <w:p>
            <w:pPr>
              <w:pStyle w:val="14"/>
            </w:pPr>
            <w:r>
              <w:t>本年支出合计</w:t>
            </w:r>
          </w:p>
        </w:tc>
        <w:tc>
          <w:tcPr>
            <w:tcW w:w="2126" w:type="dxa"/>
            <w:vAlign w:val="center"/>
          </w:tcPr>
          <w:p>
            <w:pPr>
              <w:pStyle w:val="15"/>
            </w:pPr>
            <w:r>
              <w:t>1040.36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1040.36</w:t>
            </w:r>
          </w:p>
        </w:tc>
        <w:tc>
          <w:tcPr>
            <w:tcW w:w="4535" w:type="dxa"/>
            <w:vAlign w:val="center"/>
          </w:tcPr>
          <w:p>
            <w:pPr>
              <w:pStyle w:val="14"/>
            </w:pPr>
            <w:r>
              <w:t>支出总计</w:t>
            </w:r>
          </w:p>
        </w:tc>
        <w:tc>
          <w:tcPr>
            <w:tcW w:w="2126" w:type="dxa"/>
            <w:vAlign w:val="center"/>
          </w:tcPr>
          <w:p>
            <w:pPr>
              <w:pStyle w:val="15"/>
            </w:pPr>
            <w:r>
              <w:t>1040.36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1040.36</w:t>
            </w:r>
          </w:p>
        </w:tc>
        <w:tc>
          <w:tcPr>
            <w:tcW w:w="1134" w:type="dxa"/>
            <w:vAlign w:val="center"/>
          </w:tcPr>
          <w:p>
            <w:pPr>
              <w:pStyle w:val="15"/>
            </w:pPr>
            <w:r>
              <w:t>1040.36</w:t>
            </w:r>
          </w:p>
        </w:tc>
        <w:tc>
          <w:tcPr>
            <w:tcW w:w="1134" w:type="dxa"/>
            <w:vAlign w:val="center"/>
          </w:tcPr>
          <w:p>
            <w:pPr>
              <w:pStyle w:val="15"/>
            </w:pPr>
            <w:r>
              <w:t>1040.36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872.62</w:t>
            </w:r>
          </w:p>
        </w:tc>
        <w:tc>
          <w:tcPr>
            <w:tcW w:w="1134" w:type="dxa"/>
            <w:vAlign w:val="center"/>
          </w:tcPr>
          <w:p>
            <w:pPr>
              <w:pStyle w:val="11"/>
            </w:pPr>
            <w:r>
              <w:t>872.62</w:t>
            </w:r>
          </w:p>
        </w:tc>
        <w:tc>
          <w:tcPr>
            <w:tcW w:w="1134" w:type="dxa"/>
            <w:vAlign w:val="center"/>
          </w:tcPr>
          <w:p>
            <w:pPr>
              <w:pStyle w:val="11"/>
            </w:pPr>
            <w:r>
              <w:t>872.62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872.62</w:t>
            </w:r>
          </w:p>
        </w:tc>
        <w:tc>
          <w:tcPr>
            <w:tcW w:w="1134" w:type="dxa"/>
            <w:vAlign w:val="center"/>
          </w:tcPr>
          <w:p>
            <w:pPr>
              <w:pStyle w:val="11"/>
            </w:pPr>
            <w:r>
              <w:t>872.62</w:t>
            </w:r>
          </w:p>
        </w:tc>
        <w:tc>
          <w:tcPr>
            <w:tcW w:w="1134" w:type="dxa"/>
            <w:vAlign w:val="center"/>
          </w:tcPr>
          <w:p>
            <w:pPr>
              <w:pStyle w:val="11"/>
            </w:pPr>
            <w:r>
              <w:t>872.62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772.62</w:t>
            </w:r>
          </w:p>
        </w:tc>
        <w:tc>
          <w:tcPr>
            <w:tcW w:w="1134" w:type="dxa"/>
            <w:vAlign w:val="center"/>
          </w:tcPr>
          <w:p>
            <w:pPr>
              <w:pStyle w:val="11"/>
            </w:pPr>
            <w:r>
              <w:t>772.62</w:t>
            </w:r>
          </w:p>
        </w:tc>
        <w:tc>
          <w:tcPr>
            <w:tcW w:w="1134" w:type="dxa"/>
            <w:vAlign w:val="center"/>
          </w:tcPr>
          <w:p>
            <w:pPr>
              <w:pStyle w:val="11"/>
            </w:pPr>
            <w:r>
              <w:t>772.62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2010804</w:t>
            </w:r>
          </w:p>
        </w:tc>
        <w:tc>
          <w:tcPr>
            <w:tcW w:w="1559" w:type="dxa"/>
            <w:vAlign w:val="center"/>
          </w:tcPr>
          <w:p>
            <w:pPr>
              <w:pStyle w:val="12"/>
            </w:pPr>
            <w:r>
              <w:t>审计业务</w:t>
            </w:r>
          </w:p>
        </w:tc>
        <w:tc>
          <w:tcPr>
            <w:tcW w:w="1134" w:type="dxa"/>
            <w:vAlign w:val="center"/>
          </w:tcPr>
          <w:p>
            <w:pPr>
              <w:pStyle w:val="11"/>
            </w:pPr>
            <w:r>
              <w:t>100.00</w:t>
            </w:r>
          </w:p>
        </w:tc>
        <w:tc>
          <w:tcPr>
            <w:tcW w:w="1134" w:type="dxa"/>
            <w:vAlign w:val="center"/>
          </w:tcPr>
          <w:p>
            <w:pPr>
              <w:pStyle w:val="11"/>
            </w:pPr>
            <w:r>
              <w:t>100.00</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114.72</w:t>
            </w:r>
          </w:p>
        </w:tc>
        <w:tc>
          <w:tcPr>
            <w:tcW w:w="1134" w:type="dxa"/>
            <w:vAlign w:val="center"/>
          </w:tcPr>
          <w:p>
            <w:pPr>
              <w:pStyle w:val="11"/>
            </w:pPr>
            <w:r>
              <w:t>114.72</w:t>
            </w:r>
          </w:p>
        </w:tc>
        <w:tc>
          <w:tcPr>
            <w:tcW w:w="1134" w:type="dxa"/>
            <w:vAlign w:val="center"/>
          </w:tcPr>
          <w:p>
            <w:pPr>
              <w:pStyle w:val="11"/>
            </w:pPr>
            <w:r>
              <w:t>114.72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114.72</w:t>
            </w:r>
          </w:p>
        </w:tc>
        <w:tc>
          <w:tcPr>
            <w:tcW w:w="1134" w:type="dxa"/>
            <w:vAlign w:val="center"/>
          </w:tcPr>
          <w:p>
            <w:pPr>
              <w:pStyle w:val="11"/>
            </w:pPr>
            <w:r>
              <w:t>114.72</w:t>
            </w:r>
          </w:p>
        </w:tc>
        <w:tc>
          <w:tcPr>
            <w:tcW w:w="1134" w:type="dxa"/>
            <w:vAlign w:val="center"/>
          </w:tcPr>
          <w:p>
            <w:pPr>
              <w:pStyle w:val="11"/>
            </w:pPr>
            <w:r>
              <w:t>114.72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67.60</w:t>
            </w:r>
          </w:p>
        </w:tc>
        <w:tc>
          <w:tcPr>
            <w:tcW w:w="1134" w:type="dxa"/>
            <w:vAlign w:val="center"/>
          </w:tcPr>
          <w:p>
            <w:pPr>
              <w:pStyle w:val="11"/>
            </w:pPr>
            <w:r>
              <w:t>67.60</w:t>
            </w:r>
          </w:p>
        </w:tc>
        <w:tc>
          <w:tcPr>
            <w:tcW w:w="1134" w:type="dxa"/>
            <w:vAlign w:val="center"/>
          </w:tcPr>
          <w:p>
            <w:pPr>
              <w:pStyle w:val="11"/>
            </w:pPr>
            <w:r>
              <w:t>67.60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47.12</w:t>
            </w:r>
          </w:p>
        </w:tc>
        <w:tc>
          <w:tcPr>
            <w:tcW w:w="1134" w:type="dxa"/>
            <w:vAlign w:val="center"/>
          </w:tcPr>
          <w:p>
            <w:pPr>
              <w:pStyle w:val="11"/>
            </w:pPr>
            <w:r>
              <w:t>47.12</w:t>
            </w:r>
          </w:p>
        </w:tc>
        <w:tc>
          <w:tcPr>
            <w:tcW w:w="1134" w:type="dxa"/>
            <w:vAlign w:val="center"/>
          </w:tcPr>
          <w:p>
            <w:pPr>
              <w:pStyle w:val="11"/>
            </w:pPr>
            <w:r>
              <w:t>47.12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17.68</w:t>
            </w:r>
          </w:p>
        </w:tc>
        <w:tc>
          <w:tcPr>
            <w:tcW w:w="1134" w:type="dxa"/>
            <w:vAlign w:val="center"/>
          </w:tcPr>
          <w:p>
            <w:pPr>
              <w:pStyle w:val="11"/>
            </w:pPr>
            <w:r>
              <w:t>17.68</w:t>
            </w:r>
          </w:p>
        </w:tc>
        <w:tc>
          <w:tcPr>
            <w:tcW w:w="1134" w:type="dxa"/>
            <w:vAlign w:val="center"/>
          </w:tcPr>
          <w:p>
            <w:pPr>
              <w:pStyle w:val="11"/>
            </w:pPr>
            <w:r>
              <w:t>17.68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17.68</w:t>
            </w:r>
          </w:p>
        </w:tc>
        <w:tc>
          <w:tcPr>
            <w:tcW w:w="1134" w:type="dxa"/>
            <w:vAlign w:val="center"/>
          </w:tcPr>
          <w:p>
            <w:pPr>
              <w:pStyle w:val="11"/>
            </w:pPr>
            <w:r>
              <w:t>17.68</w:t>
            </w:r>
          </w:p>
        </w:tc>
        <w:tc>
          <w:tcPr>
            <w:tcW w:w="1134" w:type="dxa"/>
            <w:vAlign w:val="center"/>
          </w:tcPr>
          <w:p>
            <w:pPr>
              <w:pStyle w:val="11"/>
            </w:pPr>
            <w:r>
              <w:t>17.68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17.68</w:t>
            </w:r>
          </w:p>
        </w:tc>
        <w:tc>
          <w:tcPr>
            <w:tcW w:w="1134" w:type="dxa"/>
            <w:vAlign w:val="center"/>
          </w:tcPr>
          <w:p>
            <w:pPr>
              <w:pStyle w:val="11"/>
            </w:pPr>
            <w:r>
              <w:t>17.68</w:t>
            </w:r>
          </w:p>
        </w:tc>
        <w:tc>
          <w:tcPr>
            <w:tcW w:w="1134" w:type="dxa"/>
            <w:vAlign w:val="center"/>
          </w:tcPr>
          <w:p>
            <w:pPr>
              <w:pStyle w:val="11"/>
            </w:pPr>
            <w:r>
              <w:t>17.68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35.34</w:t>
            </w:r>
          </w:p>
        </w:tc>
        <w:tc>
          <w:tcPr>
            <w:tcW w:w="1134" w:type="dxa"/>
            <w:vAlign w:val="center"/>
          </w:tcPr>
          <w:p>
            <w:pPr>
              <w:pStyle w:val="11"/>
            </w:pPr>
            <w:r>
              <w:t>35.34</w:t>
            </w:r>
          </w:p>
        </w:tc>
        <w:tc>
          <w:tcPr>
            <w:tcW w:w="1134" w:type="dxa"/>
            <w:vAlign w:val="center"/>
          </w:tcPr>
          <w:p>
            <w:pPr>
              <w:pStyle w:val="11"/>
            </w:pPr>
            <w:r>
              <w:t>35.34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35.34</w:t>
            </w:r>
          </w:p>
        </w:tc>
        <w:tc>
          <w:tcPr>
            <w:tcW w:w="1134" w:type="dxa"/>
            <w:vAlign w:val="center"/>
          </w:tcPr>
          <w:p>
            <w:pPr>
              <w:pStyle w:val="11"/>
            </w:pPr>
            <w:r>
              <w:t>35.34</w:t>
            </w:r>
          </w:p>
        </w:tc>
        <w:tc>
          <w:tcPr>
            <w:tcW w:w="1134" w:type="dxa"/>
            <w:vAlign w:val="center"/>
          </w:tcPr>
          <w:p>
            <w:pPr>
              <w:pStyle w:val="11"/>
            </w:pPr>
            <w:r>
              <w:t>35.34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35.34</w:t>
            </w:r>
          </w:p>
        </w:tc>
        <w:tc>
          <w:tcPr>
            <w:tcW w:w="1134" w:type="dxa"/>
            <w:vAlign w:val="center"/>
          </w:tcPr>
          <w:p>
            <w:pPr>
              <w:pStyle w:val="11"/>
            </w:pPr>
            <w:r>
              <w:t>35.34</w:t>
            </w:r>
          </w:p>
        </w:tc>
        <w:tc>
          <w:tcPr>
            <w:tcW w:w="1134" w:type="dxa"/>
            <w:vAlign w:val="center"/>
          </w:tcPr>
          <w:p>
            <w:pPr>
              <w:pStyle w:val="11"/>
            </w:pPr>
            <w:r>
              <w:t>35.34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1040.36</w:t>
            </w:r>
          </w:p>
        </w:tc>
        <w:tc>
          <w:tcPr>
            <w:tcW w:w="1361" w:type="dxa"/>
            <w:vAlign w:val="center"/>
          </w:tcPr>
          <w:p>
            <w:pPr>
              <w:pStyle w:val="15"/>
            </w:pPr>
            <w:r>
              <w:t>940.36</w:t>
            </w: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872.62</w:t>
            </w:r>
          </w:p>
        </w:tc>
        <w:tc>
          <w:tcPr>
            <w:tcW w:w="1361" w:type="dxa"/>
            <w:vAlign w:val="center"/>
          </w:tcPr>
          <w:p>
            <w:pPr>
              <w:pStyle w:val="11"/>
            </w:pPr>
            <w:r>
              <w:t>772.62</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20108</w:t>
            </w:r>
          </w:p>
        </w:tc>
        <w:tc>
          <w:tcPr>
            <w:tcW w:w="4535" w:type="dxa"/>
            <w:vAlign w:val="center"/>
          </w:tcPr>
          <w:p>
            <w:pPr>
              <w:pStyle w:val="12"/>
            </w:pPr>
            <w:r>
              <w:t>审计事务</w:t>
            </w:r>
          </w:p>
        </w:tc>
        <w:tc>
          <w:tcPr>
            <w:tcW w:w="1361" w:type="dxa"/>
            <w:vAlign w:val="center"/>
          </w:tcPr>
          <w:p>
            <w:pPr>
              <w:pStyle w:val="11"/>
            </w:pPr>
            <w:r>
              <w:t>872.62</w:t>
            </w:r>
          </w:p>
        </w:tc>
        <w:tc>
          <w:tcPr>
            <w:tcW w:w="1361" w:type="dxa"/>
            <w:vAlign w:val="center"/>
          </w:tcPr>
          <w:p>
            <w:pPr>
              <w:pStyle w:val="11"/>
            </w:pPr>
            <w:r>
              <w:t>772.62</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2010801</w:t>
            </w:r>
          </w:p>
        </w:tc>
        <w:tc>
          <w:tcPr>
            <w:tcW w:w="4535" w:type="dxa"/>
            <w:vAlign w:val="center"/>
          </w:tcPr>
          <w:p>
            <w:pPr>
              <w:pStyle w:val="12"/>
            </w:pPr>
            <w:r>
              <w:t>行政运行</w:t>
            </w:r>
          </w:p>
        </w:tc>
        <w:tc>
          <w:tcPr>
            <w:tcW w:w="1361" w:type="dxa"/>
            <w:vAlign w:val="center"/>
          </w:tcPr>
          <w:p>
            <w:pPr>
              <w:pStyle w:val="11"/>
            </w:pPr>
            <w:r>
              <w:t>772.62</w:t>
            </w:r>
          </w:p>
        </w:tc>
        <w:tc>
          <w:tcPr>
            <w:tcW w:w="1361" w:type="dxa"/>
            <w:vAlign w:val="center"/>
          </w:tcPr>
          <w:p>
            <w:pPr>
              <w:pStyle w:val="11"/>
            </w:pPr>
            <w:r>
              <w:t>772.62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2010804</w:t>
            </w:r>
          </w:p>
        </w:tc>
        <w:tc>
          <w:tcPr>
            <w:tcW w:w="4535" w:type="dxa"/>
            <w:vAlign w:val="center"/>
          </w:tcPr>
          <w:p>
            <w:pPr>
              <w:pStyle w:val="12"/>
            </w:pPr>
            <w:r>
              <w:t>审计业务</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114.72</w:t>
            </w:r>
          </w:p>
        </w:tc>
        <w:tc>
          <w:tcPr>
            <w:tcW w:w="1361" w:type="dxa"/>
            <w:vAlign w:val="center"/>
          </w:tcPr>
          <w:p>
            <w:pPr>
              <w:pStyle w:val="11"/>
            </w:pPr>
            <w:r>
              <w:t>114.72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114.72</w:t>
            </w:r>
          </w:p>
        </w:tc>
        <w:tc>
          <w:tcPr>
            <w:tcW w:w="1361" w:type="dxa"/>
            <w:vAlign w:val="center"/>
          </w:tcPr>
          <w:p>
            <w:pPr>
              <w:pStyle w:val="11"/>
            </w:pPr>
            <w:r>
              <w:t>114.72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67.60</w:t>
            </w:r>
          </w:p>
        </w:tc>
        <w:tc>
          <w:tcPr>
            <w:tcW w:w="1361" w:type="dxa"/>
            <w:vAlign w:val="center"/>
          </w:tcPr>
          <w:p>
            <w:pPr>
              <w:pStyle w:val="11"/>
            </w:pPr>
            <w:r>
              <w:t>67.60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47.12</w:t>
            </w:r>
          </w:p>
        </w:tc>
        <w:tc>
          <w:tcPr>
            <w:tcW w:w="1361" w:type="dxa"/>
            <w:vAlign w:val="center"/>
          </w:tcPr>
          <w:p>
            <w:pPr>
              <w:pStyle w:val="11"/>
            </w:pPr>
            <w:r>
              <w:t>47.12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17.68</w:t>
            </w:r>
          </w:p>
        </w:tc>
        <w:tc>
          <w:tcPr>
            <w:tcW w:w="1361" w:type="dxa"/>
            <w:vAlign w:val="center"/>
          </w:tcPr>
          <w:p>
            <w:pPr>
              <w:pStyle w:val="11"/>
            </w:pPr>
            <w:r>
              <w:t>17.68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17.68</w:t>
            </w:r>
          </w:p>
        </w:tc>
        <w:tc>
          <w:tcPr>
            <w:tcW w:w="1361" w:type="dxa"/>
            <w:vAlign w:val="center"/>
          </w:tcPr>
          <w:p>
            <w:pPr>
              <w:pStyle w:val="11"/>
            </w:pPr>
            <w:r>
              <w:t>17.68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17.68</w:t>
            </w:r>
          </w:p>
        </w:tc>
        <w:tc>
          <w:tcPr>
            <w:tcW w:w="1361" w:type="dxa"/>
            <w:vAlign w:val="center"/>
          </w:tcPr>
          <w:p>
            <w:pPr>
              <w:pStyle w:val="11"/>
            </w:pPr>
            <w:r>
              <w:t>17.68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35.34</w:t>
            </w:r>
          </w:p>
        </w:tc>
        <w:tc>
          <w:tcPr>
            <w:tcW w:w="1361" w:type="dxa"/>
            <w:vAlign w:val="center"/>
          </w:tcPr>
          <w:p>
            <w:pPr>
              <w:pStyle w:val="11"/>
            </w:pPr>
            <w:r>
              <w:t>35.34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35.34</w:t>
            </w:r>
          </w:p>
        </w:tc>
        <w:tc>
          <w:tcPr>
            <w:tcW w:w="1361" w:type="dxa"/>
            <w:vAlign w:val="center"/>
          </w:tcPr>
          <w:p>
            <w:pPr>
              <w:pStyle w:val="11"/>
            </w:pPr>
            <w:r>
              <w:t>35.34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35.34</w:t>
            </w:r>
          </w:p>
        </w:tc>
        <w:tc>
          <w:tcPr>
            <w:tcW w:w="1361" w:type="dxa"/>
            <w:vAlign w:val="center"/>
          </w:tcPr>
          <w:p>
            <w:pPr>
              <w:pStyle w:val="11"/>
            </w:pPr>
            <w:r>
              <w:t>35.34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1040.36</w:t>
            </w:r>
          </w:p>
        </w:tc>
        <w:tc>
          <w:tcPr>
            <w:tcW w:w="3402" w:type="dxa"/>
            <w:vAlign w:val="center"/>
          </w:tcPr>
          <w:p>
            <w:pPr>
              <w:pStyle w:val="12"/>
            </w:pPr>
            <w:r>
              <w:t>一、一般公共服务支出</w:t>
            </w:r>
          </w:p>
        </w:tc>
        <w:tc>
          <w:tcPr>
            <w:tcW w:w="1474" w:type="dxa"/>
            <w:vAlign w:val="center"/>
          </w:tcPr>
          <w:p>
            <w:pPr>
              <w:pStyle w:val="11"/>
            </w:pPr>
            <w:r>
              <w:t>872.62</w:t>
            </w:r>
          </w:p>
        </w:tc>
        <w:tc>
          <w:tcPr>
            <w:tcW w:w="1474" w:type="dxa"/>
            <w:vAlign w:val="center"/>
          </w:tcPr>
          <w:p>
            <w:pPr>
              <w:pStyle w:val="11"/>
            </w:pPr>
            <w:r>
              <w:t>872.62</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114.72</w:t>
            </w:r>
          </w:p>
        </w:tc>
        <w:tc>
          <w:tcPr>
            <w:tcW w:w="1474" w:type="dxa"/>
            <w:vAlign w:val="center"/>
          </w:tcPr>
          <w:p>
            <w:pPr>
              <w:pStyle w:val="11"/>
            </w:pPr>
            <w:r>
              <w:t>114.72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17.68</w:t>
            </w:r>
          </w:p>
        </w:tc>
        <w:tc>
          <w:tcPr>
            <w:tcW w:w="1474" w:type="dxa"/>
            <w:vAlign w:val="center"/>
          </w:tcPr>
          <w:p>
            <w:pPr>
              <w:pStyle w:val="11"/>
            </w:pPr>
            <w:r>
              <w:t>17.68</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35.34</w:t>
            </w:r>
          </w:p>
        </w:tc>
        <w:tc>
          <w:tcPr>
            <w:tcW w:w="1474" w:type="dxa"/>
            <w:vAlign w:val="center"/>
          </w:tcPr>
          <w:p>
            <w:pPr>
              <w:pStyle w:val="11"/>
            </w:pPr>
            <w:r>
              <w:t>35.34</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1040.36</w:t>
            </w:r>
          </w:p>
        </w:tc>
        <w:tc>
          <w:tcPr>
            <w:tcW w:w="3402" w:type="dxa"/>
            <w:vAlign w:val="center"/>
          </w:tcPr>
          <w:p>
            <w:pPr>
              <w:pStyle w:val="14"/>
            </w:pPr>
            <w:r>
              <w:t>本年支出合计</w:t>
            </w:r>
          </w:p>
        </w:tc>
        <w:tc>
          <w:tcPr>
            <w:tcW w:w="1474" w:type="dxa"/>
            <w:vAlign w:val="center"/>
          </w:tcPr>
          <w:p>
            <w:pPr>
              <w:pStyle w:val="15"/>
            </w:pPr>
            <w:r>
              <w:t>1040.36</w:t>
            </w:r>
          </w:p>
        </w:tc>
        <w:tc>
          <w:tcPr>
            <w:tcW w:w="1474" w:type="dxa"/>
            <w:vAlign w:val="center"/>
          </w:tcPr>
          <w:p>
            <w:pPr>
              <w:pStyle w:val="15"/>
            </w:pPr>
            <w:r>
              <w:t>1040.36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1040.36</w:t>
            </w:r>
          </w:p>
        </w:tc>
        <w:tc>
          <w:tcPr>
            <w:tcW w:w="3402" w:type="dxa"/>
            <w:vAlign w:val="center"/>
          </w:tcPr>
          <w:p>
            <w:pPr>
              <w:pStyle w:val="14"/>
            </w:pPr>
            <w:r>
              <w:t>支出总计</w:t>
            </w:r>
          </w:p>
        </w:tc>
        <w:tc>
          <w:tcPr>
            <w:tcW w:w="1474" w:type="dxa"/>
            <w:vAlign w:val="center"/>
          </w:tcPr>
          <w:p>
            <w:pPr>
              <w:pStyle w:val="15"/>
            </w:pPr>
            <w:r>
              <w:t>1040.36</w:t>
            </w:r>
          </w:p>
        </w:tc>
        <w:tc>
          <w:tcPr>
            <w:tcW w:w="1474" w:type="dxa"/>
            <w:vAlign w:val="center"/>
          </w:tcPr>
          <w:p>
            <w:pPr>
              <w:pStyle w:val="15"/>
            </w:pPr>
            <w:r>
              <w:t>1040.36</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1040.36</w:t>
            </w:r>
          </w:p>
        </w:tc>
        <w:tc>
          <w:tcPr>
            <w:tcW w:w="2551" w:type="dxa"/>
            <w:vAlign w:val="center"/>
          </w:tcPr>
          <w:p>
            <w:pPr>
              <w:pStyle w:val="15"/>
            </w:pPr>
            <w:r>
              <w:t>940.36</w:t>
            </w:r>
          </w:p>
        </w:tc>
        <w:tc>
          <w:tcPr>
            <w:tcW w:w="2551"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872.62</w:t>
            </w:r>
          </w:p>
        </w:tc>
        <w:tc>
          <w:tcPr>
            <w:tcW w:w="2551" w:type="dxa"/>
            <w:vAlign w:val="center"/>
          </w:tcPr>
          <w:p>
            <w:pPr>
              <w:pStyle w:val="11"/>
            </w:pPr>
            <w:r>
              <w:t>772.62</w:t>
            </w: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872.62</w:t>
            </w:r>
          </w:p>
        </w:tc>
        <w:tc>
          <w:tcPr>
            <w:tcW w:w="2551" w:type="dxa"/>
            <w:vAlign w:val="center"/>
          </w:tcPr>
          <w:p>
            <w:pPr>
              <w:pStyle w:val="11"/>
            </w:pPr>
            <w:r>
              <w:t>772.62</w:t>
            </w: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772.62</w:t>
            </w:r>
          </w:p>
        </w:tc>
        <w:tc>
          <w:tcPr>
            <w:tcW w:w="2551" w:type="dxa"/>
            <w:vAlign w:val="center"/>
          </w:tcPr>
          <w:p>
            <w:pPr>
              <w:pStyle w:val="11"/>
            </w:pPr>
            <w:r>
              <w:t>772.62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2010804</w:t>
            </w:r>
          </w:p>
        </w:tc>
        <w:tc>
          <w:tcPr>
            <w:tcW w:w="4535" w:type="dxa"/>
            <w:vAlign w:val="center"/>
          </w:tcPr>
          <w:p>
            <w:pPr>
              <w:pStyle w:val="12"/>
            </w:pPr>
            <w:r>
              <w:t>审计业务</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114.72</w:t>
            </w:r>
          </w:p>
        </w:tc>
        <w:tc>
          <w:tcPr>
            <w:tcW w:w="2551" w:type="dxa"/>
            <w:vAlign w:val="center"/>
          </w:tcPr>
          <w:p>
            <w:pPr>
              <w:pStyle w:val="11"/>
            </w:pPr>
            <w:r>
              <w:t>114.72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114.72</w:t>
            </w:r>
          </w:p>
        </w:tc>
        <w:tc>
          <w:tcPr>
            <w:tcW w:w="2551" w:type="dxa"/>
            <w:vAlign w:val="center"/>
          </w:tcPr>
          <w:p>
            <w:pPr>
              <w:pStyle w:val="11"/>
            </w:pPr>
            <w:r>
              <w:t>114.72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67.60</w:t>
            </w:r>
          </w:p>
        </w:tc>
        <w:tc>
          <w:tcPr>
            <w:tcW w:w="2551" w:type="dxa"/>
            <w:vAlign w:val="center"/>
          </w:tcPr>
          <w:p>
            <w:pPr>
              <w:pStyle w:val="11"/>
            </w:pPr>
            <w:r>
              <w:t>67.60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47.12</w:t>
            </w:r>
          </w:p>
        </w:tc>
        <w:tc>
          <w:tcPr>
            <w:tcW w:w="2551" w:type="dxa"/>
            <w:vAlign w:val="center"/>
          </w:tcPr>
          <w:p>
            <w:pPr>
              <w:pStyle w:val="11"/>
            </w:pPr>
            <w:r>
              <w:t>47.12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17.68</w:t>
            </w:r>
          </w:p>
        </w:tc>
        <w:tc>
          <w:tcPr>
            <w:tcW w:w="2551" w:type="dxa"/>
            <w:vAlign w:val="center"/>
          </w:tcPr>
          <w:p>
            <w:pPr>
              <w:pStyle w:val="11"/>
            </w:pPr>
            <w:r>
              <w:t>17.68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17.68</w:t>
            </w:r>
          </w:p>
        </w:tc>
        <w:tc>
          <w:tcPr>
            <w:tcW w:w="2551" w:type="dxa"/>
            <w:vAlign w:val="center"/>
          </w:tcPr>
          <w:p>
            <w:pPr>
              <w:pStyle w:val="11"/>
            </w:pPr>
            <w:r>
              <w:t>17.68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17.68</w:t>
            </w:r>
          </w:p>
        </w:tc>
        <w:tc>
          <w:tcPr>
            <w:tcW w:w="2551" w:type="dxa"/>
            <w:vAlign w:val="center"/>
          </w:tcPr>
          <w:p>
            <w:pPr>
              <w:pStyle w:val="11"/>
            </w:pPr>
            <w:r>
              <w:t>17.68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35.34</w:t>
            </w:r>
          </w:p>
        </w:tc>
        <w:tc>
          <w:tcPr>
            <w:tcW w:w="2551" w:type="dxa"/>
            <w:vAlign w:val="center"/>
          </w:tcPr>
          <w:p>
            <w:pPr>
              <w:pStyle w:val="11"/>
            </w:pPr>
            <w:r>
              <w:t>35.34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35.34</w:t>
            </w:r>
          </w:p>
        </w:tc>
        <w:tc>
          <w:tcPr>
            <w:tcW w:w="2551" w:type="dxa"/>
            <w:vAlign w:val="center"/>
          </w:tcPr>
          <w:p>
            <w:pPr>
              <w:pStyle w:val="11"/>
            </w:pPr>
            <w:r>
              <w:t>35.34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35.34</w:t>
            </w:r>
          </w:p>
        </w:tc>
        <w:tc>
          <w:tcPr>
            <w:tcW w:w="2551" w:type="dxa"/>
            <w:vAlign w:val="center"/>
          </w:tcPr>
          <w:p>
            <w:pPr>
              <w:pStyle w:val="11"/>
            </w:pPr>
            <w:r>
              <w:t>35.34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w:t>
            </w:r>
            <w:r>
              <w:rPr>
                <w:rFonts w:hint="eastAsia"/>
                <w:lang w:eastAsia="zh-CN"/>
              </w:rPr>
              <w:t>单位</w:t>
            </w:r>
            <w:r>
              <w:t>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940.36</w:t>
            </w:r>
          </w:p>
        </w:tc>
        <w:tc>
          <w:tcPr>
            <w:tcW w:w="2551" w:type="dxa"/>
            <w:vAlign w:val="center"/>
          </w:tcPr>
          <w:p>
            <w:pPr>
              <w:pStyle w:val="15"/>
            </w:pPr>
            <w:r>
              <w:t>771.45</w:t>
            </w:r>
          </w:p>
        </w:tc>
        <w:tc>
          <w:tcPr>
            <w:tcW w:w="2551" w:type="dxa"/>
            <w:vAlign w:val="center"/>
          </w:tcPr>
          <w:p>
            <w:pPr>
              <w:pStyle w:val="15"/>
            </w:pPr>
            <w:r>
              <w:t>168.91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661.13</w:t>
            </w:r>
          </w:p>
        </w:tc>
        <w:tc>
          <w:tcPr>
            <w:tcW w:w="2551" w:type="dxa"/>
            <w:vAlign w:val="center"/>
          </w:tcPr>
          <w:p>
            <w:pPr>
              <w:pStyle w:val="11"/>
            </w:pPr>
            <w:r>
              <w:t>661.13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227.19</w:t>
            </w:r>
          </w:p>
        </w:tc>
        <w:tc>
          <w:tcPr>
            <w:tcW w:w="2551" w:type="dxa"/>
            <w:vAlign w:val="center"/>
          </w:tcPr>
          <w:p>
            <w:pPr>
              <w:pStyle w:val="11"/>
            </w:pPr>
            <w:r>
              <w:t>227.19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110.28</w:t>
            </w:r>
          </w:p>
        </w:tc>
        <w:tc>
          <w:tcPr>
            <w:tcW w:w="2551" w:type="dxa"/>
            <w:vAlign w:val="center"/>
          </w:tcPr>
          <w:p>
            <w:pPr>
              <w:pStyle w:val="11"/>
            </w:pPr>
            <w:r>
              <w:t>110.28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40.32</w:t>
            </w:r>
          </w:p>
        </w:tc>
        <w:tc>
          <w:tcPr>
            <w:tcW w:w="2551" w:type="dxa"/>
            <w:vAlign w:val="center"/>
          </w:tcPr>
          <w:p>
            <w:pPr>
              <w:pStyle w:val="11"/>
            </w:pPr>
            <w:r>
              <w:t>40.32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113.18</w:t>
            </w:r>
          </w:p>
        </w:tc>
        <w:tc>
          <w:tcPr>
            <w:tcW w:w="2551" w:type="dxa"/>
            <w:vAlign w:val="center"/>
          </w:tcPr>
          <w:p>
            <w:pPr>
              <w:pStyle w:val="11"/>
            </w:pPr>
            <w:r>
              <w:t>113.18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47.12</w:t>
            </w:r>
          </w:p>
        </w:tc>
        <w:tc>
          <w:tcPr>
            <w:tcW w:w="2551" w:type="dxa"/>
            <w:vAlign w:val="center"/>
          </w:tcPr>
          <w:p>
            <w:pPr>
              <w:pStyle w:val="11"/>
            </w:pPr>
            <w:r>
              <w:t>47.12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17.68</w:t>
            </w:r>
          </w:p>
        </w:tc>
        <w:tc>
          <w:tcPr>
            <w:tcW w:w="2551" w:type="dxa"/>
            <w:vAlign w:val="center"/>
          </w:tcPr>
          <w:p>
            <w:pPr>
              <w:pStyle w:val="11"/>
            </w:pPr>
            <w:r>
              <w:t>17.68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33.59</w:t>
            </w:r>
          </w:p>
        </w:tc>
        <w:tc>
          <w:tcPr>
            <w:tcW w:w="2551" w:type="dxa"/>
            <w:vAlign w:val="center"/>
          </w:tcPr>
          <w:p>
            <w:pPr>
              <w:pStyle w:val="11"/>
            </w:pPr>
            <w:r>
              <w:t>33.59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35.34</w:t>
            </w:r>
          </w:p>
        </w:tc>
        <w:tc>
          <w:tcPr>
            <w:tcW w:w="2551" w:type="dxa"/>
            <w:vAlign w:val="center"/>
          </w:tcPr>
          <w:p>
            <w:pPr>
              <w:pStyle w:val="11"/>
            </w:pPr>
            <w:r>
              <w:t>35.34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36.43</w:t>
            </w:r>
          </w:p>
        </w:tc>
        <w:tc>
          <w:tcPr>
            <w:tcW w:w="2551" w:type="dxa"/>
            <w:vAlign w:val="center"/>
          </w:tcPr>
          <w:p>
            <w:pPr>
              <w:pStyle w:val="11"/>
            </w:pPr>
            <w:r>
              <w:t>36.43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158.91</w:t>
            </w:r>
          </w:p>
        </w:tc>
        <w:tc>
          <w:tcPr>
            <w:tcW w:w="2551" w:type="dxa"/>
            <w:vAlign w:val="center"/>
          </w:tcPr>
          <w:p>
            <w:pPr>
              <w:pStyle w:val="11"/>
            </w:pPr>
          </w:p>
        </w:tc>
        <w:tc>
          <w:tcPr>
            <w:tcW w:w="2551" w:type="dxa"/>
            <w:vAlign w:val="center"/>
          </w:tcPr>
          <w:p>
            <w:pPr>
              <w:pStyle w:val="11"/>
            </w:pPr>
            <w:r>
              <w:t>158.91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41.13</w:t>
            </w:r>
          </w:p>
        </w:tc>
        <w:tc>
          <w:tcPr>
            <w:tcW w:w="2551" w:type="dxa"/>
            <w:vAlign w:val="center"/>
          </w:tcPr>
          <w:p>
            <w:pPr>
              <w:pStyle w:val="11"/>
            </w:pPr>
          </w:p>
        </w:tc>
        <w:tc>
          <w:tcPr>
            <w:tcW w:w="2551" w:type="dxa"/>
            <w:vAlign w:val="center"/>
          </w:tcPr>
          <w:p>
            <w:pPr>
              <w:pStyle w:val="11"/>
            </w:pPr>
            <w:r>
              <w:t>41.13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0.38</w:t>
            </w:r>
          </w:p>
        </w:tc>
        <w:tc>
          <w:tcPr>
            <w:tcW w:w="2551" w:type="dxa"/>
            <w:vAlign w:val="center"/>
          </w:tcPr>
          <w:p>
            <w:pPr>
              <w:pStyle w:val="11"/>
            </w:pPr>
          </w:p>
        </w:tc>
        <w:tc>
          <w:tcPr>
            <w:tcW w:w="2551" w:type="dxa"/>
            <w:vAlign w:val="center"/>
          </w:tcPr>
          <w:p>
            <w:pPr>
              <w:pStyle w:val="11"/>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1.14</w:t>
            </w:r>
          </w:p>
        </w:tc>
        <w:tc>
          <w:tcPr>
            <w:tcW w:w="2551" w:type="dxa"/>
            <w:vAlign w:val="center"/>
          </w:tcPr>
          <w:p>
            <w:pPr>
              <w:pStyle w:val="11"/>
            </w:pPr>
          </w:p>
        </w:tc>
        <w:tc>
          <w:tcPr>
            <w:tcW w:w="2551" w:type="dxa"/>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3.04</w:t>
            </w:r>
          </w:p>
        </w:tc>
        <w:tc>
          <w:tcPr>
            <w:tcW w:w="2551" w:type="dxa"/>
            <w:vAlign w:val="center"/>
          </w:tcPr>
          <w:p>
            <w:pPr>
              <w:pStyle w:val="11"/>
            </w:pPr>
          </w:p>
        </w:tc>
        <w:tc>
          <w:tcPr>
            <w:tcW w:w="2551" w:type="dxa"/>
            <w:vAlign w:val="center"/>
          </w:tcPr>
          <w:p>
            <w:pPr>
              <w:pStyle w:val="11"/>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23.84</w:t>
            </w:r>
          </w:p>
        </w:tc>
        <w:tc>
          <w:tcPr>
            <w:tcW w:w="2551" w:type="dxa"/>
            <w:vAlign w:val="center"/>
          </w:tcPr>
          <w:p>
            <w:pPr>
              <w:pStyle w:val="11"/>
            </w:pPr>
          </w:p>
        </w:tc>
        <w:tc>
          <w:tcPr>
            <w:tcW w:w="2551" w:type="dxa"/>
            <w:vAlign w:val="center"/>
          </w:tcPr>
          <w:p>
            <w:pPr>
              <w:pStyle w:val="11"/>
            </w:pPr>
            <w:r>
              <w:t>23.84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4.11</w:t>
            </w:r>
          </w:p>
        </w:tc>
        <w:tc>
          <w:tcPr>
            <w:tcW w:w="2551" w:type="dxa"/>
            <w:vAlign w:val="center"/>
          </w:tcPr>
          <w:p>
            <w:pPr>
              <w:pStyle w:val="11"/>
            </w:pPr>
          </w:p>
        </w:tc>
        <w:tc>
          <w:tcPr>
            <w:tcW w:w="2551" w:type="dxa"/>
            <w:vAlign w:val="center"/>
          </w:tcPr>
          <w:p>
            <w:pPr>
              <w:pStyle w:val="11"/>
            </w:pPr>
            <w:r>
              <w:t>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3.80</w:t>
            </w:r>
          </w:p>
        </w:tc>
        <w:tc>
          <w:tcPr>
            <w:tcW w:w="2551" w:type="dxa"/>
            <w:vAlign w:val="center"/>
          </w:tcPr>
          <w:p>
            <w:pPr>
              <w:pStyle w:val="11"/>
            </w:pPr>
          </w:p>
        </w:tc>
        <w:tc>
          <w:tcPr>
            <w:tcW w:w="2551" w:type="dxa"/>
            <w:vAlign w:val="center"/>
          </w:tcPr>
          <w:p>
            <w:pPr>
              <w:pStyle w:val="11"/>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0.37</w:t>
            </w:r>
          </w:p>
        </w:tc>
        <w:tc>
          <w:tcPr>
            <w:tcW w:w="2551" w:type="dxa"/>
            <w:vAlign w:val="center"/>
          </w:tcPr>
          <w:p>
            <w:pPr>
              <w:pStyle w:val="11"/>
            </w:pPr>
          </w:p>
        </w:tc>
        <w:tc>
          <w:tcPr>
            <w:tcW w:w="2551" w:type="dxa"/>
            <w:vAlign w:val="center"/>
          </w:tcPr>
          <w:p>
            <w:pPr>
              <w:pStyle w:val="11"/>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1.14</w:t>
            </w:r>
          </w:p>
        </w:tc>
        <w:tc>
          <w:tcPr>
            <w:tcW w:w="2551" w:type="dxa"/>
            <w:vAlign w:val="center"/>
          </w:tcPr>
          <w:p>
            <w:pPr>
              <w:pStyle w:val="11"/>
            </w:pPr>
          </w:p>
        </w:tc>
        <w:tc>
          <w:tcPr>
            <w:tcW w:w="2551" w:type="dxa"/>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1.85</w:t>
            </w:r>
          </w:p>
        </w:tc>
        <w:tc>
          <w:tcPr>
            <w:tcW w:w="2551" w:type="dxa"/>
            <w:vAlign w:val="center"/>
          </w:tcPr>
          <w:p>
            <w:pPr>
              <w:pStyle w:val="11"/>
            </w:pPr>
          </w:p>
        </w:tc>
        <w:tc>
          <w:tcPr>
            <w:tcW w:w="2551" w:type="dxa"/>
            <w:vAlign w:val="center"/>
          </w:tcPr>
          <w:p>
            <w:pPr>
              <w:pStyle w:val="11"/>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0.48</w:t>
            </w:r>
          </w:p>
        </w:tc>
        <w:tc>
          <w:tcPr>
            <w:tcW w:w="2551" w:type="dxa"/>
            <w:vAlign w:val="center"/>
          </w:tcPr>
          <w:p>
            <w:pPr>
              <w:pStyle w:val="11"/>
            </w:pPr>
          </w:p>
        </w:tc>
        <w:tc>
          <w:tcPr>
            <w:tcW w:w="2551" w:type="dxa"/>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5.89</w:t>
            </w:r>
          </w:p>
        </w:tc>
        <w:tc>
          <w:tcPr>
            <w:tcW w:w="2551" w:type="dxa"/>
            <w:vAlign w:val="center"/>
          </w:tcPr>
          <w:p>
            <w:pPr>
              <w:pStyle w:val="11"/>
            </w:pPr>
          </w:p>
        </w:tc>
        <w:tc>
          <w:tcPr>
            <w:tcW w:w="2551" w:type="dxa"/>
            <w:vAlign w:val="center"/>
          </w:tcPr>
          <w:p>
            <w:pPr>
              <w:pStyle w:val="11"/>
            </w:pPr>
            <w:r>
              <w:t>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3.85</w:t>
            </w:r>
          </w:p>
        </w:tc>
        <w:tc>
          <w:tcPr>
            <w:tcW w:w="2551" w:type="dxa"/>
            <w:vAlign w:val="center"/>
          </w:tcPr>
          <w:p>
            <w:pPr>
              <w:pStyle w:val="11"/>
            </w:pPr>
          </w:p>
        </w:tc>
        <w:tc>
          <w:tcPr>
            <w:tcW w:w="2551" w:type="dxa"/>
            <w:vAlign w:val="center"/>
          </w:tcPr>
          <w:p>
            <w:pPr>
              <w:pStyle w:val="11"/>
            </w:pPr>
            <w: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4.75</w:t>
            </w:r>
          </w:p>
        </w:tc>
        <w:tc>
          <w:tcPr>
            <w:tcW w:w="2551" w:type="dxa"/>
            <w:vAlign w:val="center"/>
          </w:tcPr>
          <w:p>
            <w:pPr>
              <w:pStyle w:val="11"/>
            </w:pPr>
          </w:p>
        </w:tc>
        <w:tc>
          <w:tcPr>
            <w:tcW w:w="2551" w:type="dxa"/>
            <w:vAlign w:val="center"/>
          </w:tcPr>
          <w:p>
            <w:pPr>
              <w:pStyle w:val="11"/>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13.14</w:t>
            </w:r>
          </w:p>
        </w:tc>
        <w:tc>
          <w:tcPr>
            <w:tcW w:w="2551" w:type="dxa"/>
            <w:vAlign w:val="center"/>
          </w:tcPr>
          <w:p>
            <w:pPr>
              <w:pStyle w:val="11"/>
            </w:pPr>
          </w:p>
        </w:tc>
        <w:tc>
          <w:tcPr>
            <w:tcW w:w="2551" w:type="dxa"/>
            <w:vAlign w:val="center"/>
          </w:tcPr>
          <w:p>
            <w:pPr>
              <w:pStyle w:val="11"/>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110.32</w:t>
            </w:r>
          </w:p>
        </w:tc>
        <w:tc>
          <w:tcPr>
            <w:tcW w:w="2551" w:type="dxa"/>
            <w:vAlign w:val="center"/>
          </w:tcPr>
          <w:p>
            <w:pPr>
              <w:pStyle w:val="11"/>
            </w:pPr>
            <w:r>
              <w:t>110.32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67.60</w:t>
            </w:r>
          </w:p>
        </w:tc>
        <w:tc>
          <w:tcPr>
            <w:tcW w:w="2551" w:type="dxa"/>
            <w:vAlign w:val="center"/>
          </w:tcPr>
          <w:p>
            <w:pPr>
              <w:pStyle w:val="11"/>
            </w:pPr>
            <w:r>
              <w:t>67.60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42.63</w:t>
            </w:r>
          </w:p>
        </w:tc>
        <w:tc>
          <w:tcPr>
            <w:tcW w:w="2551" w:type="dxa"/>
            <w:vAlign w:val="center"/>
          </w:tcPr>
          <w:p>
            <w:pPr>
              <w:pStyle w:val="11"/>
            </w:pPr>
            <w:r>
              <w:t>42.63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0.09</w:t>
            </w:r>
          </w:p>
        </w:tc>
        <w:tc>
          <w:tcPr>
            <w:tcW w:w="2551" w:type="dxa"/>
            <w:vAlign w:val="center"/>
          </w:tcPr>
          <w:p>
            <w:pPr>
              <w:pStyle w:val="11"/>
            </w:pPr>
            <w:r>
              <w:t>0.09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rPr>
                <w:rFonts w:hint="default" w:eastAsia="方正书宋_GBK"/>
                <w:lang w:val="en-US" w:eastAsia="zh-CN"/>
              </w:rPr>
            </w:pPr>
            <w:r>
              <w:rPr>
                <w:rFonts w:hint="eastAsia"/>
                <w:lang w:val="en-US" w:eastAsia="zh-CN"/>
              </w:rPr>
              <w:t>5.23</w:t>
            </w:r>
          </w:p>
        </w:tc>
        <w:tc>
          <w:tcPr>
            <w:tcW w:w="2381" w:type="dxa"/>
            <w:vAlign w:val="center"/>
          </w:tcPr>
          <w:p>
            <w:pPr>
              <w:pStyle w:val="15"/>
              <w:rPr>
                <w:rFonts w:hint="default" w:eastAsia="方正书宋_GBK"/>
                <w:lang w:val="en-US" w:eastAsia="zh-CN"/>
              </w:rPr>
            </w:pPr>
            <w:r>
              <w:rPr>
                <w:rFonts w:hint="eastAsia"/>
                <w:lang w:val="en-US" w:eastAsia="zh-CN"/>
              </w:rPr>
              <w:t>5.23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5</w:t>
            </w:r>
          </w:p>
        </w:tc>
        <w:tc>
          <w:tcPr>
            <w:tcW w:w="3798" w:type="dxa"/>
            <w:vAlign w:val="center"/>
          </w:tcPr>
          <w:p>
            <w:pPr>
              <w:pStyle w:val="12"/>
            </w:pPr>
            <w:r>
              <w:t>二、公务用车购置及运维费</w:t>
            </w:r>
          </w:p>
        </w:tc>
        <w:tc>
          <w:tcPr>
            <w:tcW w:w="2382" w:type="dxa"/>
            <w:vAlign w:val="center"/>
          </w:tcPr>
          <w:p>
            <w:pPr>
              <w:pStyle w:val="11"/>
            </w:pPr>
            <w:r>
              <w:t>4.75</w:t>
            </w:r>
          </w:p>
        </w:tc>
        <w:tc>
          <w:tcPr>
            <w:tcW w:w="2381" w:type="dxa"/>
            <w:vAlign w:val="center"/>
          </w:tcPr>
          <w:p>
            <w:pPr>
              <w:pStyle w:val="11"/>
            </w:pPr>
            <w:r>
              <w:t>4.75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7</w:t>
            </w:r>
          </w:p>
        </w:tc>
        <w:tc>
          <w:tcPr>
            <w:tcW w:w="3798" w:type="dxa"/>
            <w:vAlign w:val="center"/>
          </w:tcPr>
          <w:p>
            <w:pPr>
              <w:pStyle w:val="12"/>
            </w:pPr>
            <w:r>
              <w:t xml:space="preserve">          公务用车运行维护费</w:t>
            </w:r>
          </w:p>
        </w:tc>
        <w:tc>
          <w:tcPr>
            <w:tcW w:w="2382" w:type="dxa"/>
            <w:vAlign w:val="center"/>
          </w:tcPr>
          <w:p>
            <w:pPr>
              <w:pStyle w:val="11"/>
            </w:pPr>
            <w:r>
              <w:t>4.75</w:t>
            </w:r>
          </w:p>
        </w:tc>
        <w:tc>
          <w:tcPr>
            <w:tcW w:w="2381" w:type="dxa"/>
            <w:vAlign w:val="center"/>
          </w:tcPr>
          <w:p>
            <w:pPr>
              <w:pStyle w:val="11"/>
            </w:pPr>
            <w:r>
              <w:t>4.75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lang w:val="en-US" w:eastAsia="zh-CN"/>
              </w:rPr>
            </w:pPr>
            <w:r>
              <w:rPr>
                <w:rFonts w:hint="eastAsia"/>
                <w:lang w:val="en-US" w:eastAsia="zh-CN"/>
              </w:rPr>
              <w:t>8</w:t>
            </w:r>
          </w:p>
        </w:tc>
        <w:tc>
          <w:tcPr>
            <w:tcW w:w="3798" w:type="dxa"/>
            <w:vAlign w:val="center"/>
          </w:tcPr>
          <w:p>
            <w:pPr>
              <w:pStyle w:val="12"/>
            </w:pPr>
            <w:r>
              <w:t>三、公务接待费</w:t>
            </w:r>
          </w:p>
        </w:tc>
        <w:tc>
          <w:tcPr>
            <w:tcW w:w="2382" w:type="dxa"/>
            <w:vAlign w:val="center"/>
          </w:tcPr>
          <w:p>
            <w:pPr>
              <w:pStyle w:val="11"/>
            </w:pPr>
            <w:r>
              <w:t>0.48</w:t>
            </w:r>
          </w:p>
        </w:tc>
        <w:tc>
          <w:tcPr>
            <w:tcW w:w="2381" w:type="dxa"/>
            <w:vAlign w:val="center"/>
          </w:tcPr>
          <w:p>
            <w:pPr>
              <w:pStyle w:val="11"/>
            </w:pPr>
            <w:r>
              <w:t>0.48</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霸州市审计局2022年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霸州市审计局2022年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按照《预算法》、《地方预决算公开操作规程》和《关于进一步推进预算公开工作的实施意见》规定，现将霸州市审计局2022年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7"/>
        <w:rPr>
          <w:lang w:eastAsia="zh-CN"/>
        </w:rPr>
      </w:pPr>
      <w:r>
        <w:t>霸州市审计局主要工作职责</w:t>
      </w:r>
    </w:p>
    <w:p>
      <w:pPr>
        <w:pStyle w:val="17"/>
      </w:pPr>
      <w:r>
        <w:t>一、主管全市审计工作。负责对全市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廊坊市委、廊坊市政府、霸州市委、霸州市政府相关重大政策措施贯彻落实情况进行跟踪审计。对审计、专项审计调查和核查社会审计机构相关审计报告的结果承担责任，并负有督促被审计单位整改的责任。</w:t>
      </w:r>
    </w:p>
    <w:p>
      <w:pPr>
        <w:pStyle w:val="17"/>
      </w:pPr>
      <w:r>
        <w:t>二、贯彻执行审计法律、法规和方针、政策，制定审计规范性文件并监督执行；制定并组织实施全市审计工作发展规划和专业领域审计工作规划；制定并组织实施全市年度审计计划；对直接审计、调查和核查的事项依法进行审计评价，作出审计决定或提出审计建议。</w:t>
      </w:r>
    </w:p>
    <w:p>
      <w:pPr>
        <w:pStyle w:val="17"/>
      </w:pPr>
      <w:r>
        <w:t>三、向中共霸州市委审计委员会提出年度市本级预算执行和其他财政支出情况审计报告。向市长提出年度市本级预算执行和其他财政收支情况的审计结果报告。组织起草市政府向市人大常委会提出市本级预算执行和其他财政收支情况的审计工作报告、审计查出问题整改情况报告。向市委、市政府报告对其他事项的审计和专项审计调查情况及结果。依法向社会公布审计结果。向被审计单位通报审计情况和审计结果。</w:t>
      </w:r>
    </w:p>
    <w:p>
      <w:pPr>
        <w:pStyle w:val="17"/>
      </w:pPr>
      <w:r>
        <w:t>四、直接审计下列事项，出具审计报告，在法定职权范围内作出审计决定，包括国家和省、市有关重大政策措施贯彻落实情况；市本级预算执行情况和其他财政收支，市直各</w:t>
      </w:r>
      <w:r>
        <w:rPr>
          <w:rFonts w:hint="eastAsia"/>
          <w:lang w:eastAsia="zh-CN"/>
        </w:rPr>
        <w:t>单位</w:t>
      </w:r>
      <w:r>
        <w:t>（含所属单位）预算执行情况、决算草案和其他财政收支；各乡镇区办预算执行情况、决算和其他财政收支；使用市级财政资金的事业单位和社会团体的财务收支；市投资和以市投资为主的建设项目的预算执行情况和决算，市重大公共工程项目的资金管理使用和建设运营情况；自然资源管理、污染防治和生态保护与修复情况；市属国有和国有资本占控股或者主导地位的企业和金融机构境内外资产、负债和损益，市驻外非经营性机构的财务收支；有关社会保障基金、社会捐赠资金和其他基金、资金的财务收支；国际组织和外国政府援助、贷款项目；法律法规规定的其他事项。</w:t>
      </w:r>
    </w:p>
    <w:p>
      <w:pPr>
        <w:pStyle w:val="17"/>
      </w:pPr>
      <w:r>
        <w:t>五、按规定对市管党政主要领导干部及其他单位主要负责人实施经济责任审计和自然资源资产离任审计。</w:t>
      </w:r>
    </w:p>
    <w:p>
      <w:pPr>
        <w:pStyle w:val="17"/>
      </w:pPr>
      <w:r>
        <w:t>六、组织实施对财经法律法规、规章、政策和宏观调控措施执行情况、财政预算管理及国有资产管理使用等与财政收支有关的特定事项进行专项审计调查。</w:t>
      </w:r>
    </w:p>
    <w:p>
      <w:pPr>
        <w:pStyle w:val="17"/>
      </w:pPr>
      <w:r>
        <w:t>七、依法检查审计决定执行情况，督促整改审计查出的问题，依法办理被审计单位对审计决定提请行政复议、行政诉讼或市政府裁决中的有关事项，协助配合有关</w:t>
      </w:r>
      <w:r>
        <w:rPr>
          <w:rFonts w:hint="eastAsia"/>
          <w:lang w:eastAsia="zh-CN"/>
        </w:rPr>
        <w:t>单位</w:t>
      </w:r>
      <w:r>
        <w:t>查处相关重大案件。</w:t>
      </w:r>
    </w:p>
    <w:p>
      <w:pPr>
        <w:pStyle w:val="17"/>
      </w:pPr>
      <w:r>
        <w:t>八、指导和监督内部审计工作，核查社会审计机构对依法属于审计监督对象的单位出具的相关审计报告。</w:t>
      </w:r>
    </w:p>
    <w:p>
      <w:pPr>
        <w:pStyle w:val="17"/>
      </w:pPr>
      <w:r>
        <w:t>九、组织开展审计领域的交流与合作，指导和推广信息技术在审计领域的应用。</w:t>
      </w:r>
    </w:p>
    <w:p>
      <w:pPr>
        <w:pStyle w:val="17"/>
      </w:pPr>
      <w:r>
        <w:t>十、完成市委、市政府和上级审计机关交办的其他任务。</w:t>
      </w:r>
    </w:p>
    <w:p>
      <w:pPr>
        <w:pStyle w:val="17"/>
      </w:pPr>
      <w:r>
        <w:t>霸州市审计局职能配置、内设机构和人员编制规定</w:t>
      </w:r>
    </w:p>
    <w:p>
      <w:pPr>
        <w:pStyle w:val="17"/>
      </w:pPr>
      <w:r>
        <w:t>第一条  根据《中共廊坊市委办公室廊坊市人民政府办公室关于印发〈霸州市机构改革方案〉的通知》（廊办字〔2018〕72号），制定本规定。</w:t>
      </w:r>
    </w:p>
    <w:p>
      <w:pPr>
        <w:pStyle w:val="17"/>
      </w:pPr>
      <w:r>
        <w:t>第二条  霸州市审计局（简称市审计局）为市政府工作</w:t>
      </w:r>
      <w:r>
        <w:rPr>
          <w:rFonts w:hint="eastAsia"/>
          <w:lang w:eastAsia="zh-CN"/>
        </w:rPr>
        <w:t>单位</w:t>
      </w:r>
      <w:r>
        <w:t>，机构规格正科级。</w:t>
      </w:r>
    </w:p>
    <w:p>
      <w:pPr>
        <w:pStyle w:val="17"/>
      </w:pPr>
      <w:r>
        <w:t>第三条  中共霸州市委审计委员会办公室设在市审计局，接受中共霸州市委审计委员会的直接领导，承担中共霸州市委审计委员会具体工作，研究提出审计领域坚持党的领导、加强党的建设的政策建议，组织研究全市审计工作发展规划、重大政策和改革方案，协调推进和督促落实各级党委和各级审计委员会决策部署，研究提出年度审计项目计划等有关事项。设立中共霸州市委审计委员会办公室秘书股，负责处理市委审计委员会办公室日常事务。市审计局的内设机构根据工作需要承担中共霸州市委审计委员会办公室相关工作，接受中共霸州市委审计委员会办公室的统筹协调。</w:t>
      </w:r>
    </w:p>
    <w:p>
      <w:pPr>
        <w:pStyle w:val="17"/>
      </w:pPr>
      <w:r>
        <w:t>第四条  贯彻落实中央、省委、廊坊市委、霸州市委关于审计工作的方针、政策和决策部署，坚持和加强党对审计工作的集中统一领导。主要职责是：</w:t>
      </w:r>
    </w:p>
    <w:p>
      <w:pPr>
        <w:pStyle w:val="17"/>
      </w:pPr>
      <w:r>
        <w:t>（一）主管全市审计工作。负责对全市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廊坊市委、廊坊市政府、霸州市委、霸州市政府相关重大政策措施贯彻落实情况进行跟踪审计。对审计、专项审计调查和核查社会审计机构相关审计报告的结果承担责任，并负有督促被审计单位整改的责任。</w:t>
      </w:r>
    </w:p>
    <w:p>
      <w:pPr>
        <w:pStyle w:val="17"/>
      </w:pPr>
      <w:r>
        <w:t>(二)贯彻执行审计法律、法规和方针、政策，制定审计规范性文件并监督执行；制定并组织实施全市审计工作发展规划和专业领域审计工作规划；制定并组织实施全市年度审计计划；对直接审计、调查和核查的事项依法进行审计评价，作出审计决定或提出审计建议。</w:t>
      </w:r>
    </w:p>
    <w:p>
      <w:pPr>
        <w:pStyle w:val="17"/>
      </w:pPr>
      <w:r>
        <w:t>（三）向中共霸州市委审计委员会提出年度市本级预算执行和其他财政支出情况审计报告。向市长提出年度市本级预算执行和其他财政收支情况的审计结果报告。组织起草市政府向市人大常委会提出市本级预算执行和其他财政收支情况的审计工作报告、审计查出问题整改情况报告。向市委、市政府报告对其他事项的审计和专项审计调查情况及结果。依法向社会公布审计结果。向被审计单位通报审计情况和审计结果。</w:t>
      </w:r>
    </w:p>
    <w:p>
      <w:pPr>
        <w:pStyle w:val="17"/>
      </w:pPr>
      <w:r>
        <w:t>（四）直接审计下列事项，出具审计报告，在法定职权范围内作出审计决定，包括国家和省、市有关重大政策措施贯彻落实情况；市本级预算执行情况和其他财政收支，市直各</w:t>
      </w:r>
      <w:r>
        <w:rPr>
          <w:rFonts w:hint="eastAsia"/>
          <w:lang w:eastAsia="zh-CN"/>
        </w:rPr>
        <w:t>单位</w:t>
      </w:r>
      <w:r>
        <w:t>（含所属单位）预算执行情况、决算草案和其他财政收支；各乡镇区办预算执行情况、决算和其他财政收支；使用市级财政资金的事业单位和社会团体的财务收支；市投资和以市投资为主的建设项目的预算执行情况和决算，市重大公共工程项目的资金管理使用和建设运营情况；自然资源管理、污染防治和生态保护与修复情况；市属国有和国有资本占控股或者主导地位的企业和金融机构境内外资产、负债和损益，市驻外非经营性机构的财务收支；有关社会保障基金、社会捐赠资金和其他基金、资金的财务收支；国际组织和外国政府援助、贷款项目；法律法规规定的其他事项。</w:t>
      </w:r>
    </w:p>
    <w:p>
      <w:pPr>
        <w:pStyle w:val="17"/>
      </w:pPr>
      <w:r>
        <w:t>（五）按规定对市管党政主要领导干部及其他单位主要负责人实施经济责任审计和自然资源资产离任审计。</w:t>
      </w:r>
    </w:p>
    <w:p>
      <w:pPr>
        <w:pStyle w:val="17"/>
      </w:pPr>
      <w:r>
        <w:t>（六）组织实施对财经法律法规、规章、政策和宏观调控措施执行情况、财政预算管理及国有资产管理使用等与财政收支有关的特定事项进行专项审计调查。</w:t>
      </w:r>
    </w:p>
    <w:p>
      <w:pPr>
        <w:pStyle w:val="17"/>
      </w:pPr>
      <w:r>
        <w:t>（七）依法检查审计决定执行情况，督促整改审计查出的问题，依法办理被审计单位对审计决定提请行政复议、行政诉讼或市政府裁决中的有关事项，协助配合有关</w:t>
      </w:r>
      <w:r>
        <w:rPr>
          <w:rFonts w:hint="eastAsia"/>
          <w:lang w:eastAsia="zh-CN"/>
        </w:rPr>
        <w:t>单位</w:t>
      </w:r>
      <w:r>
        <w:t>查处相关重大案件。</w:t>
      </w:r>
    </w:p>
    <w:p>
      <w:pPr>
        <w:pStyle w:val="17"/>
      </w:pPr>
      <w:r>
        <w:t>（八）指导和监督内部审计工作，核查社会审计机构对依法属于审计监督对象的单位出具的相关审计报告。</w:t>
      </w:r>
    </w:p>
    <w:p>
      <w:pPr>
        <w:pStyle w:val="17"/>
      </w:pPr>
      <w:r>
        <w:t>（九）组织开展审计领域的交流与合作，指导和推广信息技术在审计领域的应用。</w:t>
      </w:r>
    </w:p>
    <w:p>
      <w:pPr>
        <w:pStyle w:val="17"/>
      </w:pPr>
      <w:r>
        <w:t>（十）完成市委、市政府和上级审计机关交办的其他任务。</w:t>
      </w:r>
    </w:p>
    <w:p>
      <w:pPr>
        <w:pStyle w:val="17"/>
      </w:pPr>
      <w:r>
        <w:t>第五条  转变职能。进一步完善审计管理体制，加强全市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w:t>
      </w:r>
      <w:r>
        <w:rPr>
          <w:rFonts w:hint="eastAsia"/>
          <w:lang w:eastAsia="zh-CN"/>
        </w:rPr>
        <w:t>单位</w:t>
      </w:r>
      <w:r>
        <w:t>的沟通协调，充分调动内部审计和社会审计力量，增强监督合力。</w:t>
      </w:r>
    </w:p>
    <w:p>
      <w:pPr>
        <w:pStyle w:val="17"/>
      </w:pPr>
      <w:r>
        <w:t>第六条  市审计局设下列内设机构：</w:t>
      </w:r>
    </w:p>
    <w:p>
      <w:pPr>
        <w:pStyle w:val="17"/>
      </w:pPr>
      <w:r>
        <w:t>（一）办公室。负责机关日常运转，承担公文流转、会务、安全、保密、信访、档案、应急值班等工作。负责机关财务和资产管理。负责机关和所属单位离退休干部工作。承担重要行政文稿的起草。负责政务公开、审计信息、新闻宣传。承担人大代表建议、政协提案办理工作和局交办的其他事项。负责机关和所属单位的干部人事、机构编制、劳动工资、社会保障等工作。负责审计教育培训工作。负责机关党建、党务、精神文明工作和纪检工作。</w:t>
      </w:r>
    </w:p>
    <w:p>
      <w:pPr>
        <w:pStyle w:val="17"/>
      </w:pPr>
      <w:r>
        <w:t>（二）法规审理股。负责拟订审计工作发展规划，对审计工作重要问题进行研究。承担机关有关规范性文件的合法性审查、行政复议、行政应诉等工作。负责拟订年度审计项目计划，调度审计项目进度。负责审计统计，监督检查审计机关审计业务质量。审理有关审计业务事项，负责对重大违纪违法问题线索的移送协调。承担本单位法律顾问和公职律师的相关管理工作。依法检查审计决定执行情况，督促被审计单位进行整改。牵头起草审计发现问题的整改和处理结果报告。推动建立健全内部审计制度，对内部审计机构进行业务指导，监督内部审计职责履行情况，检查内部审计业务质量。负责协调对社会审计机构出具的相关审计报告的核查。承担对局机关预算执行情况、决算草案和其他财政收支的审计。联系特约审计员。</w:t>
      </w:r>
    </w:p>
    <w:p>
      <w:pPr>
        <w:pStyle w:val="17"/>
      </w:pPr>
      <w:r>
        <w:t>（三）行政事业审计股。负责审计与市财政有拨款关系的市委机关、市人大常委会机关、市政府机关、市政协机关、及其他党派组织、社会团体的财政预算执行、决算草案及其他财政收支。负责对市政法机关、纪检监察等相关</w:t>
      </w:r>
      <w:r>
        <w:rPr>
          <w:rFonts w:hint="eastAsia"/>
          <w:lang w:eastAsia="zh-CN"/>
        </w:rPr>
        <w:t>单位</w:t>
      </w:r>
      <w:r>
        <w:t>及其所属单位的预算执行情况、决算草案及其他财政收支进行审计。负责对有关市直</w:t>
      </w:r>
      <w:r>
        <w:rPr>
          <w:rFonts w:hint="eastAsia"/>
          <w:lang w:eastAsia="zh-CN"/>
        </w:rPr>
        <w:t>单位</w:t>
      </w:r>
      <w:r>
        <w:t>、直属事业单位及其所属单位的预算执行情况、决算草案及其他财务收支进行审计。负责对有关</w:t>
      </w:r>
      <w:r>
        <w:rPr>
          <w:rFonts w:hint="eastAsia"/>
          <w:lang w:eastAsia="zh-CN"/>
        </w:rPr>
        <w:t>单位</w:t>
      </w:r>
      <w:r>
        <w:t>公务支出和公款消费等进行专项审计。组织开展相关专项审计调查。</w:t>
      </w:r>
    </w:p>
    <w:p>
      <w:pPr>
        <w:pStyle w:val="17"/>
      </w:pPr>
      <w:r>
        <w:t>（四）经济责任审计股。负责对市直党政工作</w:t>
      </w:r>
      <w:r>
        <w:rPr>
          <w:rFonts w:hint="eastAsia"/>
          <w:lang w:eastAsia="zh-CN"/>
        </w:rPr>
        <w:t>单位</w:t>
      </w:r>
      <w:r>
        <w:t>、事业单位、人民团体党政主要领导干部的经济责任履行情况进行审计。负责对乡镇区办党政主要领导干部经济责任履行情况进行审计。负责对市属院校党政主要领导干部和市属国有及国有控股企业领导人员经济责任履行情况进行审计。组织开展相关专项审计调查。承担市经济责任审计联席会议办公室的日常工作。</w:t>
      </w:r>
    </w:p>
    <w:p>
      <w:pPr>
        <w:pStyle w:val="17"/>
      </w:pPr>
      <w:r>
        <w:t>（五）财政金融审计股。负责对市本级预算执行、决算草案和其他财政收支情况进行审计。牵头起草年度市本级预算执行和其他财政收支情况的审计报告、审计结果报告、审计工作报告。负责对各乡镇区办决算和其他财政收支的审计工作。负责对国家和省、廊坊市、霸州市有关重大政策措施贯彻落实情况和社会保险费征收等情况进行审计。负责对市属国有和市属国有资本占控股或主导地位的金融机构贯彻落实党和国家重大政策措施、资产、负债和损益进行审计。负责对市属金融管理</w:t>
      </w:r>
      <w:r>
        <w:rPr>
          <w:rFonts w:hint="eastAsia"/>
          <w:lang w:eastAsia="zh-CN"/>
        </w:rPr>
        <w:t>单位</w:t>
      </w:r>
      <w:r>
        <w:t>预算执行情况、决算草案、其他财政收支以及有关经济活动情况进行审计。组织开展相关专项审计调查。</w:t>
      </w:r>
    </w:p>
    <w:p>
      <w:pPr>
        <w:pStyle w:val="17"/>
      </w:pPr>
      <w:r>
        <w:t>（六）社会保障审计股。负责对市政府相关</w:t>
      </w:r>
      <w:r>
        <w:rPr>
          <w:rFonts w:hint="eastAsia"/>
          <w:lang w:eastAsia="zh-CN"/>
        </w:rPr>
        <w:t>单位</w:t>
      </w:r>
      <w:r>
        <w:t>管理和市政府及其</w:t>
      </w:r>
      <w:r>
        <w:rPr>
          <w:rFonts w:hint="eastAsia"/>
          <w:lang w:eastAsia="zh-CN"/>
        </w:rPr>
        <w:t>单位</w:t>
      </w:r>
      <w:r>
        <w:t>委托其他单位管理的社会保障基金、社会捐赠资金、彩票公益金以及其他有关基金、资金的财务收支进行审计。负责对市直农业农村、扶贫开发、自然资源和生态环境等主管</w:t>
      </w:r>
      <w:r>
        <w:rPr>
          <w:rFonts w:hint="eastAsia"/>
          <w:lang w:eastAsia="zh-CN"/>
        </w:rPr>
        <w:t>单位</w:t>
      </w:r>
      <w:r>
        <w:t>的预算执行情况、决算草案、其他财政收支进行审计。负责对农业农村、扶贫开发以及其他相关公共资金和建设项目进行审计。负责对党政主要领导干部自然资源资产离任审计。负责对全市自然资源管理、污染防治和生态保护与修复情况进行审计。组织开展相关专项审计调查。</w:t>
      </w:r>
    </w:p>
    <w:p>
      <w:pPr>
        <w:pStyle w:val="17"/>
      </w:pPr>
      <w:r>
        <w:t>（七）经贸审计股。负责对市属国有企业及国有资本占控股或主导地位的企业进行审计。负责对市级投资、以市级投资为主的建设项目以及其他关系到国家利益和公共利益的重大公共工程项目进行审计。对中央和省财政安排我市的项目投资进行审计监督，对市重点建设项目的实施情况进行跟踪审计。负责政府投融资和以政府投融资为主的居住建筑、办公建筑、商业建筑、教科文卫、交通、水利、电力、通信、城市公用事业工程、城市基础设施建设及土地一级开发等工程中预算、结算的审计工作。负责对社会中介机构在上述投融资项目审计中出具的造价咨询和评估等结果进行审核。负责审计市政府组成</w:t>
      </w:r>
      <w:r>
        <w:rPr>
          <w:rFonts w:hint="eastAsia"/>
          <w:lang w:eastAsia="zh-CN"/>
        </w:rPr>
        <w:t>单位</w:t>
      </w:r>
      <w:r>
        <w:t>及其下属单位的财务收支。组织开展相关专项审计调查。</w:t>
      </w:r>
    </w:p>
    <w:p>
      <w:pPr>
        <w:pStyle w:val="17"/>
      </w:pPr>
      <w:r>
        <w:t>第七条  市审计局机关编制20名（行政编制16名，锁定事业编制4名）。正股级领导职数 8名（含市委审计委员会办公室秘书股股长1名）。</w:t>
      </w:r>
    </w:p>
    <w:p>
      <w:pPr>
        <w:pStyle w:val="17"/>
      </w:pPr>
      <w:r>
        <w:t>第八条  本规定具体解释工作由中共霸州市委机构编制委员会办公室负责解释，其调整由中共霸州市委机构编制委员会办公室按规定程序办理。</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霸州市审计局本级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预算的编制实行综合预算管理，即全部收入和支出都反映在预算中。霸州市审计局机关及所属事业单位的收支包含在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280" w:firstLineChars="100"/>
        <w:rPr>
          <w:rFonts w:eastAsia="方正仿宋_GBK"/>
          <w:color w:val="000000"/>
          <w:sz w:val="28"/>
        </w:rPr>
      </w:pPr>
      <w:r>
        <w:rPr>
          <w:rFonts w:hint="eastAsia" w:eastAsia="方正仿宋_GBK"/>
          <w:color w:val="000000"/>
          <w:sz w:val="28"/>
          <w:lang w:eastAsia="zh-CN"/>
        </w:rPr>
        <w:t xml:space="preserve">    </w:t>
      </w:r>
      <w:r>
        <w:rPr>
          <w:rFonts w:hint="eastAsia" w:eastAsia="方正仿宋_GBK"/>
          <w:color w:val="000000"/>
          <w:sz w:val="28"/>
        </w:rPr>
        <w:t>1、收入说明</w:t>
      </w:r>
    </w:p>
    <w:p>
      <w:pPr>
        <w:spacing w:line="500" w:lineRule="exact"/>
        <w:ind w:firstLine="280" w:firstLineChars="10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当年全部收入。2022年预算收入</w:t>
      </w:r>
      <w:r>
        <w:rPr>
          <w:rFonts w:hint="eastAsia" w:eastAsia="方正仿宋_GBK"/>
          <w:color w:val="000000"/>
          <w:sz w:val="28"/>
          <w:lang w:eastAsia="zh-CN"/>
        </w:rPr>
        <w:t>1040.36</w:t>
      </w:r>
      <w:r>
        <w:rPr>
          <w:rFonts w:hint="eastAsia" w:eastAsia="方正仿宋_GBK"/>
          <w:color w:val="000000"/>
          <w:sz w:val="28"/>
        </w:rPr>
        <w:t>万元，其中：一般公共预算收入</w:t>
      </w:r>
      <w:r>
        <w:rPr>
          <w:rFonts w:hint="eastAsia" w:eastAsia="方正仿宋_GBK"/>
          <w:color w:val="000000"/>
          <w:sz w:val="28"/>
          <w:lang w:eastAsia="zh-CN"/>
        </w:rPr>
        <w:t>1040.36</w:t>
      </w:r>
      <w:r>
        <w:rPr>
          <w:rFonts w:hint="eastAsia" w:eastAsia="方正仿宋_GBK"/>
          <w:color w:val="000000"/>
          <w:sz w:val="28"/>
        </w:rPr>
        <w:t>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w:t>
      </w:r>
    </w:p>
    <w:p>
      <w:pPr>
        <w:spacing w:line="500" w:lineRule="exact"/>
        <w:ind w:firstLine="280" w:firstLineChars="100"/>
        <w:rPr>
          <w:rFonts w:eastAsia="方正仿宋_GBK"/>
          <w:color w:val="000000"/>
          <w:sz w:val="28"/>
        </w:rPr>
      </w:pPr>
      <w:r>
        <w:rPr>
          <w:rFonts w:hint="eastAsia" w:eastAsia="方正仿宋_GBK"/>
          <w:color w:val="000000"/>
          <w:sz w:val="28"/>
        </w:rPr>
        <w:t xml:space="preserve">    2、支出说明</w:t>
      </w:r>
    </w:p>
    <w:p>
      <w:pPr>
        <w:spacing w:line="500" w:lineRule="exact"/>
        <w:ind w:firstLine="560" w:firstLineChars="200"/>
        <w:rPr>
          <w:rFonts w:hint="eastAsia" w:eastAsia="方正仿宋_GBK"/>
          <w:color w:val="000000"/>
          <w:sz w:val="28"/>
          <w:lang w:val="en-US" w:eastAsia="zh-CN"/>
        </w:rPr>
      </w:pPr>
      <w:r>
        <w:rPr>
          <w:rFonts w:hint="eastAsia" w:eastAsia="方正仿宋_GBK"/>
          <w:color w:val="000000"/>
          <w:sz w:val="28"/>
        </w:rPr>
        <w:t>收支预算总表支出栏、基本支出表、项目支出表按经济分类和支出功能分类科目编制，反映霸州市审计局</w:t>
      </w:r>
      <w:r>
        <w:rPr>
          <w:rFonts w:hint="eastAsia" w:eastAsia="方正仿宋_GBK"/>
          <w:color w:val="000000"/>
          <w:sz w:val="28"/>
          <w:lang w:eastAsia="zh-CN"/>
        </w:rPr>
        <w:t>2022</w:t>
      </w:r>
      <w:r>
        <w:rPr>
          <w:rFonts w:hint="eastAsia" w:eastAsia="方正仿宋_GBK"/>
          <w:color w:val="000000"/>
          <w:sz w:val="28"/>
        </w:rPr>
        <w:t>年度</w:t>
      </w:r>
      <w:r>
        <w:rPr>
          <w:rFonts w:hint="eastAsia" w:eastAsia="方正仿宋_GBK"/>
          <w:color w:val="000000"/>
          <w:sz w:val="28"/>
          <w:lang w:eastAsia="zh-CN"/>
        </w:rPr>
        <w:t>单位</w:t>
      </w:r>
      <w:r>
        <w:rPr>
          <w:rFonts w:hint="eastAsia" w:eastAsia="方正仿宋_GBK"/>
          <w:color w:val="000000"/>
          <w:sz w:val="28"/>
        </w:rPr>
        <w:t>预算中支出预算的总体情况。202</w:t>
      </w:r>
      <w:r>
        <w:rPr>
          <w:rFonts w:hint="eastAsia" w:eastAsia="方正仿宋_GBK"/>
          <w:color w:val="000000"/>
          <w:sz w:val="28"/>
          <w:lang w:eastAsia="zh-CN"/>
        </w:rPr>
        <w:t>2</w:t>
      </w:r>
      <w:r>
        <w:rPr>
          <w:rFonts w:hint="eastAsia" w:eastAsia="方正仿宋_GBK"/>
          <w:color w:val="000000"/>
          <w:sz w:val="28"/>
        </w:rPr>
        <w:t>年本</w:t>
      </w:r>
      <w:r>
        <w:rPr>
          <w:rFonts w:hint="eastAsia" w:eastAsia="方正仿宋_GBK"/>
          <w:color w:val="000000"/>
          <w:sz w:val="28"/>
          <w:lang w:eastAsia="zh-CN"/>
        </w:rPr>
        <w:t>单位</w:t>
      </w:r>
      <w:r>
        <w:rPr>
          <w:rFonts w:hint="eastAsia" w:eastAsia="方正仿宋_GBK"/>
          <w:color w:val="000000"/>
          <w:sz w:val="28"/>
        </w:rPr>
        <w:t>支出预算</w:t>
      </w:r>
      <w:r>
        <w:rPr>
          <w:rFonts w:hint="eastAsia" w:eastAsia="方正仿宋_GBK"/>
          <w:color w:val="000000"/>
          <w:sz w:val="28"/>
          <w:lang w:eastAsia="zh-CN"/>
        </w:rPr>
        <w:t>1040.36</w:t>
      </w:r>
      <w:r>
        <w:rPr>
          <w:rFonts w:hint="eastAsia" w:eastAsia="方正仿宋_GBK"/>
          <w:color w:val="000000"/>
          <w:sz w:val="28"/>
        </w:rPr>
        <w:t>万元，其中：基本支出</w:t>
      </w:r>
      <w:r>
        <w:rPr>
          <w:rFonts w:hint="eastAsia" w:eastAsia="方正仿宋_GBK"/>
          <w:color w:val="000000"/>
          <w:sz w:val="28"/>
          <w:lang w:eastAsia="zh-CN"/>
        </w:rPr>
        <w:t>940.36</w:t>
      </w:r>
      <w:r>
        <w:rPr>
          <w:rFonts w:hint="eastAsia" w:eastAsia="方正仿宋_GBK"/>
          <w:color w:val="000000"/>
          <w:sz w:val="28"/>
        </w:rPr>
        <w:t>万元，包括：人员经费</w:t>
      </w:r>
      <w:r>
        <w:rPr>
          <w:rFonts w:hint="eastAsia" w:eastAsia="方正仿宋_GBK"/>
          <w:color w:val="000000"/>
          <w:sz w:val="28"/>
          <w:lang w:eastAsia="zh-CN"/>
        </w:rPr>
        <w:t>771.45</w:t>
      </w:r>
      <w:r>
        <w:rPr>
          <w:rFonts w:eastAsia="方正仿宋_GBK"/>
          <w:color w:val="000000"/>
          <w:sz w:val="28"/>
        </w:rPr>
        <w:t>万元</w:t>
      </w:r>
      <w:r>
        <w:rPr>
          <w:rFonts w:hint="eastAsia" w:eastAsia="方正仿宋_GBK"/>
          <w:color w:val="000000"/>
          <w:sz w:val="28"/>
        </w:rPr>
        <w:t>和日常公用经费</w:t>
      </w:r>
      <w:r>
        <w:rPr>
          <w:rFonts w:hint="eastAsia" w:eastAsia="方正仿宋_GBK"/>
          <w:color w:val="000000"/>
          <w:sz w:val="28"/>
          <w:lang w:eastAsia="zh-CN"/>
        </w:rPr>
        <w:t>168.91</w:t>
      </w:r>
      <w:r>
        <w:rPr>
          <w:rFonts w:eastAsia="方正仿宋_GBK"/>
          <w:color w:val="000000"/>
          <w:sz w:val="28"/>
        </w:rPr>
        <w:t>万元</w:t>
      </w:r>
      <w:r>
        <w:rPr>
          <w:rFonts w:hint="eastAsia" w:eastAsia="方正仿宋_GBK"/>
          <w:color w:val="000000"/>
          <w:sz w:val="28"/>
        </w:rPr>
        <w:t>；项目支出</w:t>
      </w:r>
      <w:r>
        <w:rPr>
          <w:rFonts w:hint="eastAsia" w:eastAsia="方正仿宋_GBK"/>
          <w:color w:val="000000"/>
          <w:sz w:val="28"/>
          <w:lang w:eastAsia="zh-CN"/>
        </w:rPr>
        <w:t>100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主要为</w:t>
      </w:r>
      <w:r>
        <w:rPr>
          <w:rFonts w:hint="eastAsia" w:eastAsia="方正仿宋_GBK"/>
          <w:color w:val="000000"/>
          <w:sz w:val="28"/>
          <w:lang w:eastAsia="zh-CN"/>
        </w:rPr>
        <w:t>全市</w:t>
      </w:r>
      <w:r>
        <w:rPr>
          <w:rFonts w:hint="eastAsia" w:eastAsia="方正仿宋_GBK"/>
          <w:color w:val="000000"/>
          <w:sz w:val="28"/>
        </w:rPr>
        <w:t>污水处理设施及配套管网工程覆盖、全域供水管网升级改造跟踪审计项目经费</w:t>
      </w:r>
      <w:r>
        <w:rPr>
          <w:rFonts w:hint="eastAsia" w:eastAsia="方正仿宋_GBK"/>
          <w:color w:val="000000"/>
          <w:sz w:val="28"/>
          <w:lang w:val="en-US" w:eastAsia="zh-CN"/>
        </w:rPr>
        <w:t>等。</w:t>
      </w:r>
    </w:p>
    <w:p>
      <w:pPr>
        <w:spacing w:line="500" w:lineRule="exact"/>
        <w:ind w:firstLine="560" w:firstLineChars="200"/>
        <w:rPr>
          <w:rFonts w:eastAsia="方正仿宋_GBK"/>
          <w:color w:val="000000"/>
          <w:sz w:val="28"/>
        </w:rPr>
      </w:pPr>
      <w:r>
        <w:rPr>
          <w:rFonts w:hint="eastAsia" w:eastAsia="方正仿宋_GBK"/>
          <w:color w:val="000000"/>
          <w:sz w:val="28"/>
        </w:rPr>
        <w:t>3、比上年增减情况</w:t>
      </w:r>
    </w:p>
    <w:p>
      <w:pPr>
        <w:spacing w:line="500" w:lineRule="exact"/>
        <w:ind w:firstLine="560" w:firstLineChars="200"/>
        <w:rPr>
          <w:rFonts w:hint="eastAsia" w:eastAsia="方正仿宋_GBK"/>
          <w:color w:val="000000"/>
          <w:sz w:val="28"/>
          <w:lang w:eastAsia="zh-CN"/>
        </w:rPr>
      </w:pPr>
      <w:r>
        <w:rPr>
          <w:rFonts w:hint="eastAsia" w:eastAsia="方正仿宋_GBK"/>
          <w:color w:val="000000"/>
          <w:sz w:val="28"/>
          <w:lang w:eastAsia="zh-CN"/>
        </w:rPr>
        <w:t>2022</w:t>
      </w:r>
      <w:r>
        <w:rPr>
          <w:rFonts w:hint="eastAsia" w:eastAsia="方正仿宋_GBK"/>
          <w:color w:val="000000"/>
          <w:sz w:val="28"/>
        </w:rPr>
        <w:t>年预算收支安排</w:t>
      </w:r>
      <w:r>
        <w:rPr>
          <w:rFonts w:hint="eastAsia" w:eastAsia="方正仿宋_GBK"/>
          <w:color w:val="000000"/>
          <w:sz w:val="28"/>
          <w:lang w:eastAsia="zh-CN"/>
        </w:rPr>
        <w:t>1040.36</w:t>
      </w:r>
      <w:r>
        <w:rPr>
          <w:rFonts w:hint="eastAsia" w:eastAsia="方正仿宋_GBK"/>
          <w:color w:val="000000"/>
          <w:sz w:val="28"/>
        </w:rPr>
        <w:t>万元，较</w:t>
      </w:r>
      <w:r>
        <w:rPr>
          <w:rFonts w:hint="eastAsia" w:eastAsia="方正仿宋_GBK"/>
          <w:color w:val="000000"/>
          <w:sz w:val="28"/>
          <w:lang w:eastAsia="zh-CN"/>
        </w:rPr>
        <w:t>2021</w:t>
      </w:r>
      <w:r>
        <w:rPr>
          <w:rFonts w:hint="eastAsia" w:eastAsia="方正仿宋_GBK"/>
          <w:color w:val="000000"/>
          <w:sz w:val="28"/>
        </w:rPr>
        <w:t>年预算增加</w:t>
      </w:r>
      <w:r>
        <w:rPr>
          <w:rFonts w:hint="eastAsia" w:eastAsia="方正仿宋_GBK"/>
          <w:color w:val="000000"/>
          <w:sz w:val="28"/>
          <w:lang w:eastAsia="zh-CN"/>
        </w:rPr>
        <w:t>85.53</w:t>
      </w:r>
      <w:r>
        <w:rPr>
          <w:rFonts w:hint="eastAsia" w:eastAsia="方正仿宋_GBK"/>
          <w:color w:val="000000"/>
          <w:sz w:val="28"/>
        </w:rPr>
        <w:t>万元，其中：基本支出</w:t>
      </w:r>
      <w:r>
        <w:rPr>
          <w:rFonts w:hint="eastAsia" w:eastAsia="方正仿宋_GBK"/>
          <w:color w:val="000000"/>
          <w:sz w:val="28"/>
          <w:lang w:eastAsia="zh-CN"/>
        </w:rPr>
        <w:t>减少14.47</w:t>
      </w:r>
      <w:r>
        <w:rPr>
          <w:rFonts w:hint="eastAsia" w:eastAsia="方正仿宋_GBK"/>
          <w:color w:val="000000"/>
          <w:sz w:val="28"/>
        </w:rPr>
        <w:t>万元，主要为</w:t>
      </w:r>
      <w:r>
        <w:rPr>
          <w:rFonts w:hint="eastAsia" w:eastAsia="方正仿宋_GBK"/>
          <w:color w:val="000000"/>
          <w:sz w:val="28"/>
          <w:lang w:val="uk-UA" w:eastAsia="zh-CN"/>
        </w:rPr>
        <w:t>节约开支</w:t>
      </w:r>
      <w:r>
        <w:rPr>
          <w:rFonts w:hint="eastAsia" w:eastAsia="方正仿宋_GBK"/>
          <w:color w:val="000000"/>
          <w:sz w:val="28"/>
          <w:lang w:eastAsia="zh-CN"/>
        </w:rPr>
        <w:t>减少</w:t>
      </w:r>
      <w:r>
        <w:rPr>
          <w:rFonts w:hint="eastAsia" w:eastAsia="方正仿宋_GBK"/>
          <w:color w:val="000000"/>
          <w:sz w:val="28"/>
        </w:rPr>
        <w:t>人员经费和</w:t>
      </w:r>
      <w:r>
        <w:rPr>
          <w:rFonts w:hint="eastAsia" w:eastAsia="方正仿宋_GBK"/>
          <w:color w:val="000000"/>
          <w:sz w:val="28"/>
          <w:lang w:eastAsia="zh-CN"/>
        </w:rPr>
        <w:t>减少</w:t>
      </w:r>
      <w:r>
        <w:rPr>
          <w:rFonts w:hint="eastAsia" w:eastAsia="方正仿宋_GBK"/>
          <w:color w:val="000000"/>
          <w:sz w:val="28"/>
        </w:rPr>
        <w:t>日常公用经费支出</w:t>
      </w:r>
      <w:r>
        <w:rPr>
          <w:rFonts w:hint="eastAsia" w:eastAsia="方正仿宋_GBK"/>
          <w:color w:val="000000"/>
          <w:sz w:val="28"/>
          <w:lang w:eastAsia="zh-CN"/>
        </w:rPr>
        <w:t>；项目增加支出</w:t>
      </w:r>
      <w:r>
        <w:rPr>
          <w:rFonts w:hint="eastAsia" w:eastAsia="方正仿宋_GBK"/>
          <w:color w:val="000000"/>
          <w:sz w:val="28"/>
          <w:lang w:val="en-US" w:eastAsia="zh-CN"/>
        </w:rPr>
        <w:t>100</w:t>
      </w:r>
      <w:r>
        <w:rPr>
          <w:rFonts w:hint="eastAsia" w:eastAsia="方正仿宋_GBK"/>
          <w:color w:val="000000"/>
          <w:sz w:val="28"/>
          <w:lang w:eastAsia="zh-CN"/>
        </w:rPr>
        <w:t>万元，</w:t>
      </w:r>
      <w:r>
        <w:rPr>
          <w:rFonts w:hint="eastAsia" w:eastAsia="方正仿宋_GBK"/>
          <w:color w:val="000000"/>
          <w:sz w:val="28"/>
          <w:lang w:val="en-US" w:eastAsia="zh-CN"/>
        </w:rPr>
        <w:t>主要为</w:t>
      </w:r>
      <w:r>
        <w:rPr>
          <w:rFonts w:hint="eastAsia" w:eastAsia="方正仿宋_GBK"/>
          <w:color w:val="000000"/>
          <w:sz w:val="28"/>
        </w:rPr>
        <w:t>全</w:t>
      </w:r>
      <w:r>
        <w:rPr>
          <w:rFonts w:hint="eastAsia" w:eastAsia="方正仿宋_GBK"/>
          <w:color w:val="000000"/>
          <w:sz w:val="28"/>
          <w:lang w:eastAsia="zh-CN"/>
        </w:rPr>
        <w:t>市污水处理设施及配套管网工程覆盖、全域供水管网升级改造跟踪审计项目</w:t>
      </w:r>
      <w:r>
        <w:rPr>
          <w:rFonts w:hint="eastAsia" w:eastAsia="方正仿宋_GBK"/>
          <w:color w:val="000000"/>
          <w:sz w:val="28"/>
          <w:lang w:val="en-US" w:eastAsia="zh-CN"/>
        </w:rPr>
        <w:t>支出</w:t>
      </w:r>
      <w:r>
        <w:rPr>
          <w:rFonts w:hint="eastAsia" w:eastAsia="方正仿宋_GBK"/>
          <w:color w:val="000000"/>
          <w:sz w:val="28"/>
          <w:lang w:eastAsia="zh-CN"/>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firstLineChars="200"/>
        <w:rPr>
          <w:rFonts w:ascii="仿宋_GB2312" w:eastAsia="仿宋_GB2312"/>
          <w:sz w:val="32"/>
          <w:szCs w:val="32"/>
          <w:lang w:eastAsia="zh-CN"/>
        </w:rPr>
      </w:pPr>
      <w:r>
        <w:rPr>
          <w:rFonts w:hint="eastAsia" w:eastAsia="方正仿宋_GBK"/>
          <w:color w:val="000000"/>
          <w:sz w:val="28"/>
        </w:rPr>
        <w:t>机关运行经费共计安排168.91万元，主要用于办公区的日常维修、办公用房水电费、办公用房取暖费、办公及办公设备购置费、印刷费，邮电费、差旅费、工会经费、福利费、培训费、公务接待费、办公用房物业管理费、公务用车运行维护费、公务移动通讯费、公务交通补贴及特殊因素公用经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rPr>
          <w:rFonts w:ascii="仿宋_GB2312" w:eastAsia="仿宋_GB2312"/>
          <w:bCs/>
          <w:sz w:val="32"/>
          <w:szCs w:val="32"/>
        </w:rPr>
      </w:pPr>
      <w:r>
        <w:rPr>
          <w:rFonts w:hint="eastAsia" w:eastAsia="方正仿宋_GBK"/>
          <w:color w:val="000000"/>
          <w:sz w:val="28"/>
        </w:rPr>
        <w:t>2022年，我</w:t>
      </w:r>
      <w:r>
        <w:rPr>
          <w:rFonts w:hint="eastAsia" w:eastAsia="方正仿宋_GBK"/>
          <w:color w:val="000000"/>
          <w:sz w:val="28"/>
          <w:lang w:eastAsia="zh-CN"/>
        </w:rPr>
        <w:t>单位</w:t>
      </w:r>
      <w:r>
        <w:rPr>
          <w:rFonts w:hint="eastAsia" w:eastAsia="方正仿宋_GBK"/>
          <w:color w:val="000000"/>
          <w:sz w:val="28"/>
        </w:rPr>
        <w:t>“三公”经费预算安排5.23万元，其中：因公出国（境）费0万元；公务用车购置及运维费4.75万元（其中：公务用车购置费0万元，公务用车运行维护费5万元)；公务接待费0.48万元，与</w:t>
      </w:r>
      <w:r>
        <w:rPr>
          <w:rFonts w:eastAsia="方正仿宋_GBK"/>
          <w:color w:val="000000"/>
          <w:sz w:val="28"/>
        </w:rPr>
        <w:t>20</w:t>
      </w:r>
      <w:r>
        <w:rPr>
          <w:rFonts w:hint="eastAsia" w:eastAsia="方正仿宋_GBK"/>
          <w:color w:val="000000"/>
          <w:sz w:val="28"/>
        </w:rPr>
        <w:t>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减少0.28万元</w:t>
      </w:r>
      <w:r>
        <w:rPr>
          <w:rFonts w:hint="eastAsia" w:eastAsia="方正仿宋_GBK"/>
          <w:color w:val="000000"/>
          <w:sz w:val="28"/>
        </w:rPr>
        <w:t>，主要是因为因公出国（境）费与2020年持平，无增减变化；公务用车购置费与202</w:t>
      </w:r>
      <w:r>
        <w:rPr>
          <w:rFonts w:hint="eastAsia" w:eastAsia="方正仿宋_GBK"/>
          <w:color w:val="000000"/>
          <w:sz w:val="28"/>
          <w:lang w:eastAsia="zh-CN"/>
        </w:rPr>
        <w:t>1</w:t>
      </w:r>
      <w:r>
        <w:rPr>
          <w:rFonts w:hint="eastAsia" w:eastAsia="方正仿宋_GBK"/>
          <w:color w:val="000000"/>
          <w:sz w:val="28"/>
        </w:rPr>
        <w:t>年持平，无增减变化；公务用车运行维护费与202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减少0.25万元</w:t>
      </w:r>
      <w:r>
        <w:rPr>
          <w:rFonts w:hint="eastAsia" w:eastAsia="方正仿宋_GBK"/>
          <w:color w:val="000000"/>
          <w:sz w:val="28"/>
        </w:rPr>
        <w:t>，</w:t>
      </w:r>
      <w:r>
        <w:rPr>
          <w:rFonts w:hint="eastAsia" w:eastAsia="方正仿宋_GBK"/>
          <w:color w:val="000000"/>
          <w:sz w:val="28"/>
          <w:lang w:eastAsia="zh-CN"/>
        </w:rPr>
        <w:t>主要是节约开支</w:t>
      </w:r>
      <w:r>
        <w:rPr>
          <w:rFonts w:hint="eastAsia" w:eastAsia="方正仿宋_GBK"/>
          <w:color w:val="000000"/>
          <w:sz w:val="28"/>
        </w:rPr>
        <w:t>；公务接待费与202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减少0.03万元</w:t>
      </w:r>
      <w:r>
        <w:rPr>
          <w:rFonts w:hint="eastAsia" w:eastAsia="方正仿宋_GBK"/>
          <w:color w:val="000000"/>
          <w:sz w:val="28"/>
        </w:rPr>
        <w:t>，</w:t>
      </w:r>
      <w:r>
        <w:rPr>
          <w:rFonts w:hint="eastAsia" w:eastAsia="方正仿宋_GBK"/>
          <w:color w:val="000000"/>
          <w:sz w:val="28"/>
          <w:lang w:eastAsia="zh-CN"/>
        </w:rPr>
        <w:t>主要是节约开支</w:t>
      </w:r>
      <w:r>
        <w:rPr>
          <w:rFonts w:hint="eastAsia" w:eastAsia="方正仿宋_GBK"/>
          <w:color w:val="000000"/>
          <w:sz w:val="28"/>
        </w:rPr>
        <w:t>。</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1"/>
        <w:rPr>
          <w:lang w:eastAsia="zh-CN"/>
        </w:rPr>
      </w:pPr>
      <w:r>
        <w:t>总体绩效目标</w:t>
      </w:r>
    </w:p>
    <w:p>
      <w:pPr>
        <w:pStyle w:val="21"/>
      </w:pPr>
      <w:r>
        <w:t>负责对全市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廊坊市委、廊坊市政府、霸州市委、霸州市政府相关重大政策措施贯彻落实情况进行跟踪审计。</w:t>
      </w:r>
    </w:p>
    <w:p>
      <w:pPr>
        <w:spacing w:line="500" w:lineRule="exact"/>
        <w:ind w:firstLine="560"/>
      </w:pPr>
      <w:r>
        <w:rPr>
          <w:rFonts w:eastAsia="方正仿宋_GBK"/>
          <w:color w:val="000000"/>
          <w:sz w:val="28"/>
        </w:rPr>
        <w:t>（二）分项绩效目标</w:t>
      </w:r>
    </w:p>
    <w:p>
      <w:pPr>
        <w:pStyle w:val="22"/>
        <w:rPr>
          <w:lang w:eastAsia="zh-CN"/>
        </w:rPr>
      </w:pPr>
      <w:r>
        <w:t>分项绩效目标</w:t>
      </w:r>
    </w:p>
    <w:p>
      <w:pPr>
        <w:pStyle w:val="22"/>
      </w:pPr>
      <w:r>
        <w:t>一、国家重大政策措施落实情况跟踪审计</w:t>
      </w:r>
    </w:p>
    <w:p>
      <w:pPr>
        <w:pStyle w:val="22"/>
      </w:pPr>
      <w:r>
        <w:t>绩效目标：完成政策执行情况审计，对政策执行过程中出现的新情况、新问题，提出了有针对性和可操作性的建议，积极推动政策措施健全完善。</w:t>
      </w:r>
    </w:p>
    <w:p>
      <w:pPr>
        <w:pStyle w:val="22"/>
      </w:pPr>
      <w:r>
        <w:t>绩效指标：问题整改率达到90%、审计建议采纳率率达到90%。</w:t>
      </w:r>
    </w:p>
    <w:p>
      <w:pPr>
        <w:pStyle w:val="22"/>
      </w:pPr>
      <w:r>
        <w:t>二、预算执行审计</w:t>
      </w:r>
    </w:p>
    <w:p>
      <w:pPr>
        <w:pStyle w:val="22"/>
      </w:pPr>
      <w:r>
        <w:t>绩效目标：完成预算执行审计，提出年度市本级预算执行和其他财政收支情况的审计结果报告并且向被审计单位通报审计情况和审计结果。</w:t>
      </w:r>
    </w:p>
    <w:p>
      <w:pPr>
        <w:pStyle w:val="22"/>
      </w:pPr>
      <w:r>
        <w:t>绩效指标：问题整改率达到90%、审计建议采纳率率达到90%。</w:t>
      </w:r>
    </w:p>
    <w:p>
      <w:pPr>
        <w:pStyle w:val="22"/>
      </w:pPr>
      <w:r>
        <w:t>三、经济责任审计</w:t>
      </w:r>
    </w:p>
    <w:p>
      <w:pPr>
        <w:pStyle w:val="22"/>
      </w:pPr>
      <w:r>
        <w:t>绩效目标：完成主要领导干部经济责任履行情况审计，确保应审尽审。通过审计，既摸清家底，又界定前任与后任的经济责任，有针对性的提出相应建设性意见和建议，确保被审单位工作的延续性和资产的顺利交接。</w:t>
      </w:r>
    </w:p>
    <w:p>
      <w:pPr>
        <w:pStyle w:val="22"/>
      </w:pPr>
      <w:r>
        <w:t>绩效指标：问题整改率达到90%、审计建议采纳率率达到90%。</w:t>
      </w:r>
    </w:p>
    <w:p>
      <w:pPr>
        <w:pStyle w:val="22"/>
      </w:pPr>
      <w:r>
        <w:t>四、专项审计</w:t>
      </w:r>
    </w:p>
    <w:p>
      <w:pPr>
        <w:pStyle w:val="22"/>
      </w:pPr>
      <w:r>
        <w:t>绩效目标：完成专项审计，重点审计专项资金总体安排、分配拨付、监督检查和实施绩效等方面，针对审计发现的问题提出了合理审计建议并持续跟进后续整改工作，促进专项资金安全规范有效使用，为市领导宏观决策提供审计依据。</w:t>
      </w:r>
    </w:p>
    <w:p>
      <w:pPr>
        <w:pStyle w:val="22"/>
      </w:pPr>
      <w:r>
        <w:t>绩效指标：问题整改率达到90%、审计建议采纳率率达到90%。</w:t>
      </w:r>
    </w:p>
    <w:p>
      <w:pPr>
        <w:pStyle w:val="22"/>
      </w:pPr>
      <w:r>
        <w:t>五、重点建设项目稽查</w:t>
      </w:r>
    </w:p>
    <w:p>
      <w:pPr>
        <w:pStyle w:val="22"/>
      </w:pPr>
      <w:r>
        <w:t>绩效目标：加强对全市重点建设项目稽查，保证工程质量和资金安全，提升投资效益。</w:t>
      </w:r>
    </w:p>
    <w:p>
      <w:pPr>
        <w:pStyle w:val="22"/>
      </w:pPr>
      <w:r>
        <w:t>绩效指标：问题整改率达到90%、审计建议采纳率率达到90%。</w:t>
      </w:r>
    </w:p>
    <w:p>
      <w:pPr>
        <w:spacing w:line="500" w:lineRule="exact"/>
        <w:ind w:firstLine="560"/>
      </w:pPr>
      <w:r>
        <w:rPr>
          <w:rFonts w:eastAsia="方正仿宋_GBK"/>
          <w:color w:val="000000"/>
          <w:sz w:val="28"/>
        </w:rPr>
        <w:t>（三）工作保障措施</w:t>
      </w:r>
    </w:p>
    <w:p>
      <w:pPr>
        <w:pStyle w:val="23"/>
        <w:rPr>
          <w:lang w:eastAsia="zh-CN"/>
        </w:rPr>
      </w:pPr>
      <w:r>
        <w:t>保障措施</w:t>
      </w:r>
    </w:p>
    <w:p>
      <w:pPr>
        <w:pStyle w:val="23"/>
      </w:pPr>
      <w:r>
        <w:t>一是做足审前功课，为审中做准备。审计人员认真进行审前调查，注意收集被审计单位各类专项资金拨入、分配、管理等运转情况，充分掌握被审计单位的情况。做到心中有数，知己知彼，为之后审计工作的顺利实施做好保证。</w:t>
      </w:r>
    </w:p>
    <w:p>
      <w:pPr>
        <w:pStyle w:val="23"/>
      </w:pPr>
      <w:r>
        <w:t>二是借鉴以往的审计档案，理出新的审计思路。在审计之前，通过对以前年度审计资料的查阅和对审计案卷的分析，从中发现被审计单位的内部控制薄弱点，进而确定审计重点，以节省审计实施时间，提高工作效率。</w:t>
      </w:r>
    </w:p>
    <w:p>
      <w:pPr>
        <w:pStyle w:val="23"/>
      </w:pPr>
      <w:r>
        <w:t>三是研究制定切实可行的审计实施方案。将实施审计具体化到内容、步骤、分工等，做到科学、合理，全面考虑，避免随意性，为审计现场实施做好了充足的准备。</w:t>
      </w:r>
    </w:p>
    <w:p>
      <w:pPr>
        <w:pStyle w:val="23"/>
      </w:pPr>
      <w:r>
        <w:t>四是按照“全局一盘棋”的思路，全员参加审计工作。打破条块分割和业务科室分工界限，统一整合全局力量，全局齐动员，为做好审计工作提供较好的人力支撑。</w:t>
      </w:r>
    </w:p>
    <w:p>
      <w:pPr>
        <w:pStyle w:val="23"/>
      </w:pPr>
      <w:r>
        <w:t>五是深化审计业务培训。为发挥好审计监督职能，我局不断深化审计业务培训，先后组织了自然资源离任审计专题培训、扶贫资金专项审计培训、EPC投资项目审计专题培训，并选派骨干参加了省市各级审计机关组织的“以审代训”工作。通过专业培训，进一步提高全局的审计质量和水平。</w:t>
      </w:r>
    </w:p>
    <w:p>
      <w:pPr>
        <w:pStyle w:val="23"/>
      </w:pPr>
      <w:r>
        <w:t>六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t>七是规范财务资产管理。完善财务管理制度，严格审批程序，加强固定资产登记、使用和报废处置管理，做到支出合理，物尽其用。</w:t>
      </w:r>
    </w:p>
    <w:p>
      <w:pPr>
        <w:pStyle w:val="23"/>
        <w:rPr>
          <w:rFonts w:hint="eastAsia"/>
          <w:lang w:eastAsia="zh-CN"/>
        </w:rPr>
      </w:pPr>
      <w:r>
        <w:t>八是加强绩效运行监控。按要求开展绩效运行监控，发现问题及时采取措施，确保绩效目标如期保质实现。</w:t>
      </w:r>
    </w:p>
    <w:p>
      <w:pPr>
        <w:pStyle w:val="23"/>
        <w:rPr>
          <w:rFonts w:hint="eastAsia"/>
          <w:lang w:eastAsia="zh-CN"/>
        </w:rPr>
      </w:pPr>
    </w:p>
    <w:p>
      <w:pPr>
        <w:pStyle w:val="23"/>
        <w:rPr>
          <w:rFonts w:hint="eastAsia"/>
          <w:lang w:eastAsia="zh-CN"/>
        </w:rPr>
      </w:pPr>
    </w:p>
    <w:p>
      <w:pPr>
        <w:pStyle w:val="23"/>
        <w:rPr>
          <w:rFonts w:hint="eastAsia"/>
          <w:lang w:eastAsia="zh-CN"/>
        </w:rPr>
      </w:pPr>
    </w:p>
    <w:p>
      <w:pPr>
        <w:ind w:firstLine="640"/>
        <w:rPr>
          <w:rFonts w:eastAsiaTheme="minorEastAsia"/>
          <w:lang w:eastAsia="zh-CN"/>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cs="方正楷体_GBK" w:asciiTheme="minorEastAsia" w:hAnsiTheme="minorEastAsia"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1、全市污水处理设施及配套管网工程覆盖、全域供水管网升级改造跟踪审计项目经费绩效目标表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 根据项目合同和实施方案要求，完成全过程跟踪（分为过程跟踪和工程造价审计）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审计项目数量</w:t>
            </w:r>
          </w:p>
        </w:tc>
        <w:tc>
          <w:tcPr>
            <w:tcW w:w="2835" w:type="dxa"/>
            <w:vAlign w:val="center"/>
          </w:tcPr>
          <w:p>
            <w:pPr>
              <w:pStyle w:val="12"/>
            </w:pPr>
            <w:r>
              <w:t>计划开展全过程跟踪审计项目数量</w:t>
            </w:r>
          </w:p>
        </w:tc>
        <w:tc>
          <w:tcPr>
            <w:tcW w:w="2551" w:type="dxa"/>
            <w:vAlign w:val="center"/>
          </w:tcPr>
          <w:p>
            <w:pPr>
              <w:pStyle w:val="12"/>
            </w:pPr>
            <w:r>
              <w:t>2个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年度审计完成率</w:t>
            </w:r>
          </w:p>
        </w:tc>
        <w:tc>
          <w:tcPr>
            <w:tcW w:w="2835" w:type="dxa"/>
            <w:vAlign w:val="center"/>
          </w:tcPr>
          <w:p>
            <w:pPr>
              <w:pStyle w:val="12"/>
            </w:pPr>
            <w:r>
              <w:t>本年度跟踪审计完成情况</w:t>
            </w:r>
          </w:p>
        </w:tc>
        <w:tc>
          <w:tcPr>
            <w:tcW w:w="2551" w:type="dxa"/>
            <w:vAlign w:val="center"/>
          </w:tcPr>
          <w:p>
            <w:pPr>
              <w:pStyle w:val="12"/>
            </w:pPr>
            <w:r>
              <w:t>≥90 %</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跟踪审计完成时限</w:t>
            </w:r>
          </w:p>
        </w:tc>
        <w:tc>
          <w:tcPr>
            <w:tcW w:w="2835" w:type="dxa"/>
            <w:vAlign w:val="center"/>
          </w:tcPr>
          <w:p>
            <w:pPr>
              <w:pStyle w:val="12"/>
            </w:pPr>
            <w:r>
              <w:t xml:space="preserve"> 完成年度内跟踪审计实际月份</w:t>
            </w:r>
          </w:p>
        </w:tc>
        <w:tc>
          <w:tcPr>
            <w:tcW w:w="2551" w:type="dxa"/>
            <w:vAlign w:val="center"/>
          </w:tcPr>
          <w:p>
            <w:pPr>
              <w:pStyle w:val="12"/>
            </w:pPr>
            <w:r>
              <w:t>≤12月份</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年度内跟踪审计成本</w:t>
            </w:r>
          </w:p>
        </w:tc>
        <w:tc>
          <w:tcPr>
            <w:tcW w:w="2835" w:type="dxa"/>
            <w:vAlign w:val="center"/>
          </w:tcPr>
          <w:p>
            <w:pPr>
              <w:pStyle w:val="12"/>
            </w:pPr>
            <w:r>
              <w:t xml:space="preserve"> 年度内跟踪审计实际所需费用</w:t>
            </w:r>
          </w:p>
        </w:tc>
        <w:tc>
          <w:tcPr>
            <w:tcW w:w="2551" w:type="dxa"/>
            <w:vAlign w:val="center"/>
          </w:tcPr>
          <w:p>
            <w:pPr>
              <w:pStyle w:val="12"/>
            </w:pPr>
            <w:r>
              <w:t>≤100万元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 xml:space="preserve"> 审计费用节约情况</w:t>
            </w:r>
          </w:p>
        </w:tc>
        <w:tc>
          <w:tcPr>
            <w:tcW w:w="2835" w:type="dxa"/>
            <w:vAlign w:val="center"/>
          </w:tcPr>
          <w:p>
            <w:pPr>
              <w:pStyle w:val="12"/>
            </w:pPr>
            <w:r>
              <w:t xml:space="preserve"> 通过项目招投标及专项小组审计，节约审计成本</w:t>
            </w:r>
          </w:p>
        </w:tc>
        <w:tc>
          <w:tcPr>
            <w:tcW w:w="2551" w:type="dxa"/>
            <w:vAlign w:val="center"/>
          </w:tcPr>
          <w:p>
            <w:pPr>
              <w:pStyle w:val="12"/>
            </w:pPr>
            <w:r>
              <w:t>≥1325万元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实际调查中满意及较满意企业个数占全部调查企业数量的比率</w:t>
            </w:r>
          </w:p>
        </w:tc>
        <w:tc>
          <w:tcPr>
            <w:tcW w:w="2551" w:type="dxa"/>
            <w:vAlign w:val="center"/>
          </w:tcPr>
          <w:p>
            <w:pPr>
              <w:pStyle w:val="12"/>
            </w:pPr>
            <w:r>
              <w:t>≥95 %</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2022年，霸州市审计局安排政府采购预算100.00万元。具体内容见下表。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rPr>
                <w:rFonts w:hint="eastAsia"/>
                <w:lang w:eastAsia="zh-CN"/>
              </w:rPr>
              <w:t>114001霸州市审计局本级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霸州市审计局本级小计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全市污水处理设施及配套管网工程覆盖、全域供水管网升级改造跟踪审计项目经费</w:t>
            </w:r>
          </w:p>
        </w:tc>
        <w:tc>
          <w:tcPr>
            <w:tcW w:w="964" w:type="dxa"/>
            <w:vAlign w:val="center"/>
          </w:tcPr>
          <w:p>
            <w:pPr>
              <w:pStyle w:val="11"/>
            </w:pPr>
            <w:r>
              <w:t>100.00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项目</w:t>
            </w:r>
          </w:p>
        </w:tc>
        <w:tc>
          <w:tcPr>
            <w:tcW w:w="850" w:type="dxa"/>
            <w:vAlign w:val="center"/>
          </w:tcPr>
          <w:p>
            <w:pPr>
              <w:pStyle w:val="11"/>
            </w:pPr>
            <w:r>
              <w:t>2</w:t>
            </w:r>
          </w:p>
        </w:tc>
        <w:tc>
          <w:tcPr>
            <w:tcW w:w="850" w:type="dxa"/>
            <w:vAlign w:val="center"/>
          </w:tcPr>
          <w:p>
            <w:pPr>
              <w:pStyle w:val="11"/>
            </w:pPr>
            <w:r>
              <w:t>50.00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eastAsia="方正仿宋_GBK"/>
          <w:color w:val="000000"/>
          <w:sz w:val="28"/>
          <w:lang w:eastAsia="zh-CN"/>
        </w:rPr>
      </w:pPr>
      <w:r>
        <w:rPr>
          <w:rFonts w:eastAsia="方正仿宋_GBK"/>
          <w:color w:val="000000"/>
          <w:sz w:val="28"/>
        </w:rPr>
        <w:t>霸州市审计局（含所属单位）上年末固定资产金额为</w:t>
      </w:r>
      <w:r>
        <w:rPr>
          <w:rFonts w:hint="eastAsia" w:eastAsia="方正仿宋_GBK"/>
          <w:color w:val="000000"/>
          <w:sz w:val="28"/>
          <w:lang w:eastAsia="zh-CN"/>
        </w:rPr>
        <w:t>118.39</w:t>
      </w:r>
      <w:r>
        <w:rPr>
          <w:rFonts w:eastAsia="方正仿宋_GBK"/>
          <w:color w:val="000000"/>
          <w:sz w:val="28"/>
        </w:rPr>
        <w:t>万元（详见下表）。本年度拟购置固定资产总额为</w:t>
      </w:r>
      <w:r>
        <w:rPr>
          <w:rFonts w:hint="eastAsia" w:eastAsia="方正仿宋_GBK"/>
          <w:color w:val="000000"/>
          <w:sz w:val="28"/>
          <w:lang w:eastAsia="zh-CN"/>
        </w:rPr>
        <w:t>10</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lang w:eastAsia="zh-CN"/>
        </w:rPr>
      </w:pPr>
    </w:p>
    <w:p>
      <w:pPr>
        <w:spacing w:line="500" w:lineRule="exact"/>
        <w:ind w:firstLine="560"/>
        <w:rPr>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rFonts w:ascii="宋体" w:hAnsi="宋体" w:eastAsia="宋体" w:cs="宋体"/>
                <w:lang w:eastAsia="zh-CN"/>
              </w:rPr>
            </w:pPr>
            <w:r>
              <w:rPr>
                <w:rFonts w:hint="eastAsia"/>
                <w:lang w:eastAsia="zh-CN"/>
              </w:rPr>
              <w:t>114001霸州市审计局本级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pPr>
            <w:r>
              <w:rPr>
                <w:rFonts w:hint="eastAsia" w:ascii="宋体" w:hAnsi="宋体" w:eastAsia="宋体" w:cs="宋体"/>
                <w:sz w:val="22"/>
              </w:rPr>
              <w:t>资产总额</w:t>
            </w:r>
          </w:p>
        </w:tc>
        <w:tc>
          <w:tcPr>
            <w:tcW w:w="2835" w:type="dxa"/>
            <w:vAlign w:val="center"/>
          </w:tcPr>
          <w:p>
            <w:pPr>
              <w:pStyle w:val="13"/>
            </w:pPr>
          </w:p>
        </w:tc>
        <w:tc>
          <w:tcPr>
            <w:tcW w:w="2835" w:type="dxa"/>
            <w:vAlign w:val="center"/>
          </w:tcPr>
          <w:p>
            <w:pPr>
              <w:pStyle w:val="11"/>
              <w:ind w:right="420" w:firstLine="945" w:firstLineChars="450"/>
              <w:jc w:val="left"/>
              <w:rPr>
                <w:lang w:eastAsia="zh-CN"/>
              </w:rPr>
            </w:pPr>
            <w:r>
              <w:rPr>
                <w:rFonts w:hint="eastAsia"/>
                <w:lang w:eastAsia="zh-CN"/>
              </w:rPr>
              <w:t>118.39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13"/>
              <w:rPr>
                <w:lang w:eastAsia="zh-CN"/>
              </w:rPr>
            </w:pPr>
            <w:r>
              <w:rPr>
                <w:rFonts w:hint="eastAsia"/>
                <w:lang w:eastAsia="zh-CN"/>
              </w:rPr>
              <w:t>2</w:t>
            </w:r>
          </w:p>
        </w:tc>
        <w:tc>
          <w:tcPr>
            <w:tcW w:w="2835" w:type="dxa"/>
            <w:vAlign w:val="center"/>
          </w:tcPr>
          <w:p>
            <w:pPr>
              <w:pStyle w:val="11"/>
              <w:ind w:right="420" w:firstLine="1050" w:firstLineChars="500"/>
              <w:jc w:val="left"/>
              <w:rPr>
                <w:lang w:eastAsia="zh-CN"/>
              </w:rPr>
            </w:pPr>
            <w:r>
              <w:rPr>
                <w:rFonts w:hint="eastAsia"/>
                <w:lang w:eastAsia="zh-CN"/>
              </w:rPr>
              <w:t>33.98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13"/>
            </w:pPr>
          </w:p>
        </w:tc>
        <w:tc>
          <w:tcPr>
            <w:tcW w:w="2835" w:type="dxa"/>
            <w:vAlign w:val="center"/>
          </w:tcPr>
          <w:p>
            <w:pPr>
              <w:pStyle w:val="11"/>
              <w:ind w:firstLine="1050" w:firstLineChars="500"/>
              <w:jc w:val="left"/>
              <w:rPr>
                <w:lang w:eastAsia="zh-CN"/>
              </w:rPr>
            </w:pPr>
            <w:r>
              <w:rPr>
                <w:rFonts w:hint="eastAsia"/>
                <w:lang w:eastAsia="zh-CN"/>
              </w:rPr>
              <w:t>84.41</w:t>
            </w:r>
          </w:p>
        </w:tc>
      </w:tr>
    </w:tbl>
    <w:p>
      <w:pPr>
        <w:rPr>
          <w:rFonts w:eastAsiaTheme="minorEastAsia"/>
          <w:lang w:val="uk-UA" w:eastAsia="zh-CN"/>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bookmarkStart w:id="18" w:name="_GoBack"/>
      <w:bookmarkEnd w:id="18"/>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w:t>
      </w:r>
      <w:r>
        <w:rPr>
          <w:rFonts w:hint="eastAsia" w:eastAsia="方正仿宋_GBK"/>
          <w:color w:val="000000"/>
          <w:sz w:val="28"/>
          <w:lang w:val="en-US" w:eastAsia="zh-CN"/>
        </w:rPr>
        <w:t>市</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eastAsia="zh-CN"/>
        </w:rPr>
        <w:sectPr>
          <w:pgSz w:w="16840" w:h="11900" w:orient="landscape"/>
          <w:pgMar w:top="1361" w:right="1020" w:bottom="1134" w:left="1020" w:header="720" w:footer="720" w:gutter="0"/>
          <w:cols w:space="720" w:num="1"/>
        </w:sect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p>
    <w:p>
      <w:pPr>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SimSun-ExtB"/>
    <w:panose1 w:val="00000000000000000000"/>
    <w:charset w:val="86"/>
    <w:family w:val="script"/>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NjIwMGY4N2VmMTNjZjYxZDkyYjUyMWQyMmYzZDAifQ=="/>
  </w:docVars>
  <w:rsids>
    <w:rsidRoot w:val="007D46B7"/>
    <w:rsid w:val="00094030"/>
    <w:rsid w:val="00097487"/>
    <w:rsid w:val="001C797B"/>
    <w:rsid w:val="00586C86"/>
    <w:rsid w:val="00700F13"/>
    <w:rsid w:val="007026EF"/>
    <w:rsid w:val="00761BF0"/>
    <w:rsid w:val="007D46B7"/>
    <w:rsid w:val="008C2BDA"/>
    <w:rsid w:val="009B3C70"/>
    <w:rsid w:val="00B47940"/>
    <w:rsid w:val="00B7152B"/>
    <w:rsid w:val="00BD422C"/>
    <w:rsid w:val="00DD7DD1"/>
    <w:rsid w:val="00E935C7"/>
    <w:rsid w:val="00EB6A5D"/>
    <w:rsid w:val="00F03B6F"/>
    <w:rsid w:val="0EB3302A"/>
    <w:rsid w:val="23C727B0"/>
    <w:rsid w:val="2C2F5C45"/>
    <w:rsid w:val="359103DD"/>
    <w:rsid w:val="5861035C"/>
    <w:rsid w:val="675D3A98"/>
    <w:rsid w:val="69F475DB"/>
    <w:rsid w:val="6EEE6355"/>
    <w:rsid w:val="7DD7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2022-03-04T10:10:04Z</dcterms:created>
  <dcterms:modified xsi:type="dcterms:W3CDTF">2022-03-04T02:10:04Z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2022-03-04T10:10:04Z</dcterms:created>
  <dcterms:modified xsi:type="dcterms:W3CDTF">2022-03-04T02:10:03Z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2022-03-04T10:10:05Z</dcterms:created>
  <dcterms:modified xsi:type="dcterms:W3CDTF">2022-03-04T02:10:05Z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2022-03-04T10:10:10Z</dcterms:created>
  <dcterms:modified xsi:type="dcterms:W3CDTF">2022-03-04T02:10:10Z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2022-03-04T10:10:11Z</dcterms:created>
  <dcterms:modified xsi:type="dcterms:W3CDTF">2022-03-04T02:10:11Z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2022-03-04T10:10:04Z</dcterms:created>
  <dcterms:modified xsi:type="dcterms:W3CDTF">2022-03-04T02:10:04Z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2022-03-04T10:10:10Z</dcterms:created>
  <dcterms:modified xsi:type="dcterms:W3CDTF">2022-03-04T02:10:09Z</dcterms:modified>
</cp:coreProperties>
</file>

<file path=customXml/itemProps1.xml><?xml version="1.0" encoding="utf-8"?>
<ds:datastoreItem xmlns:ds="http://schemas.openxmlformats.org/officeDocument/2006/customXml" ds:itemID="{430F4878-6351-4AA7-8FB0-1BCD15D3756B}">
  <ds:schemaRefs/>
</ds:datastoreItem>
</file>

<file path=customXml/itemProps10.xml><?xml version="1.0" encoding="utf-8"?>
<ds:datastoreItem xmlns:ds="http://schemas.openxmlformats.org/officeDocument/2006/customXml" ds:itemID="{ED3CFEF7-B1F0-4DB3-AABE-461FDEB8E77F}">
  <ds:schemaRefs/>
</ds:datastoreItem>
</file>

<file path=customXml/itemProps11.xml><?xml version="1.0" encoding="utf-8"?>
<ds:datastoreItem xmlns:ds="http://schemas.openxmlformats.org/officeDocument/2006/customXml" ds:itemID="{99ACE71E-01C6-4D8B-9BCD-80432F37DF0C}">
  <ds:schemaRefs/>
</ds:datastoreItem>
</file>

<file path=customXml/itemProps12.xml><?xml version="1.0" encoding="utf-8"?>
<ds:datastoreItem xmlns:ds="http://schemas.openxmlformats.org/officeDocument/2006/customXml" ds:itemID="{E02BAAE5-8337-4E9F-B891-CE18CE7C7B7A}">
  <ds:schemaRefs/>
</ds:datastoreItem>
</file>

<file path=customXml/itemProps13.xml><?xml version="1.0" encoding="utf-8"?>
<ds:datastoreItem xmlns:ds="http://schemas.openxmlformats.org/officeDocument/2006/customXml" ds:itemID="{B0A83CA3-399D-4BA9-ACCF-D83110F13FAB}">
  <ds:schemaRefs/>
</ds:datastoreItem>
</file>

<file path=customXml/itemProps14.xml><?xml version="1.0" encoding="utf-8"?>
<ds:datastoreItem xmlns:ds="http://schemas.openxmlformats.org/officeDocument/2006/customXml" ds:itemID="{CD4FAC43-0D61-432C-804A-2E1BD71E3DF6}">
  <ds:schemaRefs/>
</ds:datastoreItem>
</file>

<file path=customXml/itemProps2.xml><?xml version="1.0" encoding="utf-8"?>
<ds:datastoreItem xmlns:ds="http://schemas.openxmlformats.org/officeDocument/2006/customXml" ds:itemID="{377C8623-AD2A-4E61-9916-BFEFAA68D986}">
  <ds:schemaRefs/>
</ds:datastoreItem>
</file>

<file path=customXml/itemProps3.xml><?xml version="1.0" encoding="utf-8"?>
<ds:datastoreItem xmlns:ds="http://schemas.openxmlformats.org/officeDocument/2006/customXml" ds:itemID="{B3960825-C2B1-4431-90DB-C88D1C76F2F6}">
  <ds:schemaRefs/>
</ds:datastoreItem>
</file>

<file path=customXml/itemProps4.xml><?xml version="1.0" encoding="utf-8"?>
<ds:datastoreItem xmlns:ds="http://schemas.openxmlformats.org/officeDocument/2006/customXml" ds:itemID="{3FC18A9C-2D54-422A-B65E-9F7C082C2863}">
  <ds:schemaRefs/>
</ds:datastoreItem>
</file>

<file path=customXml/itemProps5.xml><?xml version="1.0" encoding="utf-8"?>
<ds:datastoreItem xmlns:ds="http://schemas.openxmlformats.org/officeDocument/2006/customXml" ds:itemID="{BC0CEF75-CD69-41A8-9CFA-3B1AB89C30BE}">
  <ds:schemaRefs/>
</ds:datastoreItem>
</file>

<file path=customXml/itemProps6.xml><?xml version="1.0" encoding="utf-8"?>
<ds:datastoreItem xmlns:ds="http://schemas.openxmlformats.org/officeDocument/2006/customXml" ds:itemID="{66106432-D8B7-49CD-93DC-EF665613DDBC}">
  <ds:schemaRefs/>
</ds:datastoreItem>
</file>

<file path=customXml/itemProps7.xml><?xml version="1.0" encoding="utf-8"?>
<ds:datastoreItem xmlns:ds="http://schemas.openxmlformats.org/officeDocument/2006/customXml" ds:itemID="{91524E16-20E0-4209-8C77-7E45B9E8B104}">
  <ds:schemaRefs/>
</ds:datastoreItem>
</file>

<file path=customXml/itemProps8.xml><?xml version="1.0" encoding="utf-8"?>
<ds:datastoreItem xmlns:ds="http://schemas.openxmlformats.org/officeDocument/2006/customXml" ds:itemID="{DB68CBFF-918B-4A9A-8A4E-73D21F0F3647}">
  <ds:schemaRefs/>
</ds:datastoreItem>
</file>

<file path=customXml/itemProps9.xml><?xml version="1.0" encoding="utf-8"?>
<ds:datastoreItem xmlns:ds="http://schemas.openxmlformats.org/officeDocument/2006/customXml" ds:itemID="{5A4AFA06-3468-4584-87B3-5640FE862A2F}">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11491</Words>
  <Characters>13125</Characters>
  <Lines>117</Lines>
  <Paragraphs>33</Paragraphs>
  <TotalTime>3</TotalTime>
  <ScaleCrop>false</ScaleCrop>
  <LinksUpToDate>false</LinksUpToDate>
  <CharactersWithSpaces>13324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2022-03-07T00:47:00Z</dcterms:created>
  <dc:creator>user</dc:creator>
  <cp:lastModifiedBy>熊孩子☞你可知错</cp:lastModifiedBy>
  <dcterms:modified xsi:type="dcterms:W3CDTF">2023-08-14T08:35:47Z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0ED1C2CC537F41708B46CB0BE10C4DE7_13</vt:lpwstr>
  </property>
</Properties>
</file>